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tabs>
          <w:tab w:val="left" w:pos="1440"/>
          <w:tab w:val="left" w:pos="6120"/>
        </w:tabs>
        <w:rPr>
          <w:rFonts w:ascii="Garamond" w:hAnsi="Garamond"/>
          <w:b w:val="off"/>
          <w:color w:val="auto"/>
          <w:sz w:val="22"/>
          <w:szCs w:val="22"/>
        </w:rPr>
      </w:pPr>
      <w:bookmarkStart w:id="0" w:name="_Hlk523315236"/>
      <w:r>
        <w:rPr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-190500</wp:posOffset>
            </wp:positionV>
            <wp:extent cx="2895600" cy="895350"/>
            <wp:effectExtent l="0" t="0" r="0" b="0"/>
            <wp:wrapNone/>
            <wp:docPr id="1" name="Bilde 1" descr="yngre legers forening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ngre legers forening LI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 w:val="off"/>
          <w:color w:val="auto"/>
          <w:sz w:val="22"/>
          <w:szCs w:val="22"/>
        </w:rPr>
        <w:t>y</w:t>
      </w:r>
      <w:r>
        <w:rPr>
          <w:rFonts w:ascii="Garamond" w:hAnsi="Garamond"/>
          <w:b w:val="off"/>
          <w:color w:val="auto"/>
          <w:sz w:val="22"/>
          <w:szCs w:val="22"/>
        </w:rPr>
        <w:t>y</w:t>
      </w:r>
    </w:p>
    <w:p>
      <w:pPr>
        <w:rPr>
          <w:rFonts w:ascii="Times New Roman" w:hAnsi="Times New Roman"/>
          <w:b w:val="off"/>
          <w:color w:val="auto"/>
          <w:sz w:val="24"/>
          <w:szCs w:val="24"/>
        </w:rPr>
      </w:pPr>
    </w:p>
    <w:p>
      <w:pPr>
        <w:rPr>
          <w:rFonts w:ascii="Times New Roman" w:hAnsi="Times New Roman"/>
          <w:b w:val="off"/>
          <w:color w:val="auto"/>
          <w:sz w:val="24"/>
          <w:szCs w:val="24"/>
        </w:rPr>
      </w:pPr>
    </w:p>
    <w:p>
      <w:pPr>
        <w:rPr>
          <w:rFonts w:ascii="Times New Roman" w:hAnsi="Times New Roman"/>
          <w:b w:val="off"/>
          <w:color w:val="auto"/>
          <w:sz w:val="24"/>
          <w:szCs w:val="24"/>
        </w:rPr>
      </w:pPr>
    </w:p>
    <w:p>
      <w:pPr>
        <w:rPr>
          <w:rFonts w:ascii="Times New Roman" w:hAnsi="Times New Roman"/>
          <w:b w:val="off"/>
          <w:color w:val="auto"/>
          <w:sz w:val="24"/>
          <w:szCs w:val="24"/>
        </w:rPr>
      </w:pPr>
    </w:p>
    <w:p>
      <w:pPr>
        <w:rPr>
          <w:rFonts w:ascii="Times New Roman" w:hAnsi="Times New Roman"/>
          <w:b w:val="off"/>
          <w:color w:val="auto"/>
          <w:sz w:val="24"/>
          <w:szCs w:val="24"/>
        </w:rPr>
      </w:pPr>
    </w:p>
    <w:p>
      <w:pPr>
        <w:rPr>
          <w:rFonts w:ascii="Times New Roman" w:hAnsi="Times New Roman"/>
          <w:b w:val="off"/>
          <w:color w:val="auto"/>
          <w:sz w:val="24"/>
          <w:szCs w:val="24"/>
        </w:rPr>
      </w:pPr>
      <w:r>
        <w:fldChar w:fldCharType="begin"/>
      </w:r>
      <w:r>
        <w:instrText xml:space="preserve"> MERGEFIELD "Sdo_AMNavn" </w:instrText>
      </w:r>
      <w:r>
        <w:fldChar w:fldCharType="separate"/>
      </w:r>
      <w:r>
        <w:rPr>
          <w:rFonts w:ascii="Times New Roman" w:hAnsi="Times New Roman"/>
          <w:b w:val="off"/>
          <w:color w:val="auto"/>
          <w:sz w:val="24"/>
          <w:szCs w:val="24"/>
        </w:rPr>
        <w:t>Den norske legeforening</w:t>
      </w:r>
      <w:r>
        <w:fldChar w:fldCharType="end"/>
      </w:r>
    </w:p>
    <w:p>
      <w:pPr>
        <w:rPr>
          <w:rFonts w:ascii="Times New Roman" w:hAnsi="Times New Roman"/>
          <w:b w:val="off"/>
          <w:color w:val="auto"/>
          <w:sz w:val="24"/>
          <w:szCs w:val="24"/>
        </w:rPr>
      </w:pPr>
      <w:r>
        <w:fldChar w:fldCharType="begin"/>
      </w:r>
      <w:r>
        <w:instrText xml:space="preserve"> MERGEFIELD "Sdm_att" </w:instrText>
      </w:r>
      <w:r>
        <w:fldChar w:fldCharType="end"/>
      </w:r>
    </w:p>
    <w:p>
      <w:pPr>
        <w:rPr>
          <w:rFonts w:ascii="Times New Roman" w:hAnsi="Times New Roman"/>
          <w:b w:val="off"/>
          <w:color w:val="auto"/>
          <w:sz w:val="24"/>
          <w:szCs w:val="24"/>
        </w:rPr>
      </w:pPr>
      <w:r>
        <w:fldChar w:fldCharType="begin"/>
      </w:r>
      <w:r>
        <w:instrText xml:space="preserve"> MERGEFIELD "Sdo_AMPostAdr" </w:instrText>
      </w:r>
      <w:r>
        <w:fldChar w:fldCharType="end"/>
      </w:r>
    </w:p>
    <w:p>
      <w:pPr>
        <w:rPr>
          <w:rFonts w:ascii="Times New Roman" w:hAnsi="Times New Roman"/>
          <w:b w:val="off"/>
          <w:color w:val="auto"/>
          <w:sz w:val="24"/>
          <w:szCs w:val="24"/>
        </w:rPr>
      </w:pPr>
      <w:r>
        <w:fldChar w:fldCharType="begin"/>
      </w:r>
      <w:r>
        <w:instrText xml:space="preserve"> MERGEFIELD "Sdo_AMAdr2" </w:instrText>
      </w:r>
      <w:r>
        <w:fldChar w:fldCharType="end"/>
      </w:r>
    </w:p>
    <w:p>
      <w:pPr>
        <w:rPr>
          <w:rFonts w:ascii="Times New Roman" w:hAnsi="Times New Roman"/>
          <w:b w:val="off"/>
          <w:color w:val="auto"/>
          <w:sz w:val="24"/>
          <w:szCs w:val="24"/>
        </w:rPr>
      </w:pPr>
      <w:r>
        <w:fldChar w:fldCharType="begin"/>
      </w:r>
      <w:r>
        <w:instrText xml:space="preserve"> MERGEFIELD "Sdo_AMPostNr" </w:instrText>
      </w:r>
      <w:r>
        <w:fldChar w:fldCharType="end"/>
      </w:r>
      <w:r>
        <w:rPr>
          <w:rFonts w:ascii="Times New Roman" w:hAnsi="Times New Roman"/>
          <w:b w:val="off"/>
          <w:color w:val="auto"/>
          <w:sz w:val="24"/>
          <w:szCs w:val="24"/>
        </w:rPr>
        <w:t xml:space="preserve"> </w:t>
      </w:r>
      <w:r>
        <w:fldChar w:fldCharType="begin"/>
      </w:r>
      <w:r>
        <w:instrText xml:space="preserve"> MERGEFIELD "Sdo_AMPoststed" </w:instrText>
      </w:r>
      <w:r>
        <w:fldChar w:fldCharType="end"/>
      </w:r>
    </w:p>
    <w:p>
      <w:pPr>
        <w:rPr>
          <w:rFonts w:ascii="Times New Roman" w:hAnsi="Times New Roman"/>
          <w:b w:val="off"/>
          <w:color w:val="auto"/>
          <w:sz w:val="24"/>
          <w:szCs w:val="24"/>
        </w:rPr>
      </w:pPr>
    </w:p>
    <w:p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rPr>
          <w:rFonts w:ascii="Times New Roman" w:hAnsi="Times New Roman"/>
          <w:b w:val="off"/>
          <w:color w:val="auto"/>
          <w:sz w:val="24"/>
          <w:szCs w:val="24"/>
        </w:rPr>
      </w:pPr>
    </w:p>
    <w:tbl>
      <w:tblPr>
        <w:tblW w:w="9330" w:type="dxa"/>
        <w:tblLayout w:type="fixed"/>
        <w:tblLook w:val="01E0"/>
      </w:tblPr>
      <w:tblGrid>
        <w:gridCol w:w="1276"/>
        <w:gridCol w:w="2039"/>
        <w:gridCol w:w="1021"/>
        <w:gridCol w:w="2700"/>
        <w:gridCol w:w="720"/>
        <w:gridCol w:w="1574"/>
      </w:tblGrid>
      <w:tr>
        <w:trPr/>
        <w:tc>
          <w:tcPr>
            <w:cnfStyle w:val="101000000000"/>
            <w:tcW w:w="1276" w:type="dxa"/>
          </w:tcPr>
          <w:p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ind w:right="-54"/>
              <w:rPr>
                <w:rFonts w:ascii="Times New Roman" w:hAnsi="Times New Roman"/>
                <w:b w:val="off"/>
                <w:color w:val="auto"/>
                <w:sz w:val="20"/>
              </w:rPr>
            </w:pPr>
            <w:r>
              <w:rPr>
                <w:rFonts w:ascii="Times New Roman" w:hAnsi="Times New Roman"/>
                <w:b w:val="off"/>
                <w:color w:val="auto"/>
                <w:sz w:val="20"/>
              </w:rPr>
              <w:t>D</w:t>
            </w:r>
            <w:r>
              <w:rPr>
                <w:rFonts w:ascii="Times New Roman" w:hAnsi="Times New Roman"/>
                <w:b w:val="off"/>
                <w:color w:val="auto"/>
                <w:sz w:val="20"/>
              </w:rPr>
              <w:t>eres</w:t>
            </w:r>
            <w:r>
              <w:rPr>
                <w:rFonts w:ascii="Times New Roman" w:hAnsi="Times New Roman"/>
                <w:b w:val="off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b w:val="off"/>
                <w:color w:val="auto"/>
                <w:sz w:val="20"/>
              </w:rPr>
              <w:t xml:space="preserve"> ref.</w:t>
            </w:r>
            <w:r>
              <w:rPr>
                <w:rFonts w:ascii="Times New Roman" w:hAnsi="Times New Roman"/>
                <w:b w:val="off"/>
                <w:color w:val="auto"/>
                <w:sz w:val="20"/>
              </w:rPr>
              <w:t>:</w:t>
            </w:r>
          </w:p>
        </w:tc>
        <w:tc>
          <w:tcPr>
            <w:cnfStyle w:val="100010000000"/>
            <w:tcW w:w="2039" w:type="dxa"/>
          </w:tcPr>
          <w:p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rPr>
                <w:rFonts w:ascii="Times New Roman" w:hAnsi="Times New Roman"/>
                <w:b w:val="off"/>
                <w:color w:val="auto"/>
                <w:sz w:val="20"/>
              </w:rPr>
            </w:pPr>
            <w:r>
              <w:rPr>
                <w:rFonts w:ascii="Times New Roman" w:hAnsi="Times New Roman"/>
                <w:b w:val="off"/>
                <w:color w:val="auto"/>
                <w:sz w:val="20"/>
              </w:rPr>
              <w:t>xx</w:t>
            </w:r>
            <w:r>
              <w:fldChar w:fldCharType="begin"/>
            </w:r>
            <w:r>
              <w:instrText xml:space="preserve"> MERGEFIELD "Sdo_AMReferanse" </w:instrText>
            </w:r>
            <w:r>
              <w:fldChar w:fldCharType="end"/>
            </w:r>
          </w:p>
        </w:tc>
        <w:tc>
          <w:tcPr>
            <w:cnfStyle w:val="100001000000"/>
            <w:tcW w:w="1021" w:type="dxa"/>
          </w:tcPr>
          <w:p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rPr>
                <w:rFonts w:ascii="Times New Roman" w:hAnsi="Times New Roman"/>
                <w:b w:val="off"/>
                <w:color w:val="auto"/>
                <w:sz w:val="20"/>
              </w:rPr>
            </w:pPr>
            <w:r>
              <w:rPr>
                <w:rFonts w:ascii="Times New Roman" w:hAnsi="Times New Roman"/>
                <w:b w:val="off"/>
                <w:color w:val="auto"/>
                <w:sz w:val="20"/>
              </w:rPr>
              <w:t>Vår ref.:</w:t>
            </w:r>
          </w:p>
        </w:tc>
        <w:tc>
          <w:tcPr>
            <w:cnfStyle w:val="100010000000"/>
            <w:tcW w:w="2700" w:type="dxa"/>
          </w:tcPr>
          <w:p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rPr>
                <w:rFonts w:ascii="Times New Roman" w:hAnsi="Times New Roman"/>
                <w:b w:val="off"/>
                <w:color w:val="auto"/>
                <w:sz w:val="20"/>
              </w:rPr>
            </w:pPr>
            <w:r>
              <w:rPr>
                <w:rFonts w:ascii="Times New Roman" w:hAnsi="Times New Roman"/>
                <w:b w:val="off"/>
                <w:color w:val="auto"/>
                <w:sz w:val="20"/>
              </w:rPr>
              <w:t>xx/</w:t>
            </w:r>
            <w:r>
              <w:rPr>
                <w:rFonts w:ascii="Times New Roman" w:hAnsi="Times New Roman"/>
                <w:b w:val="off"/>
                <w:color w:val="auto"/>
                <w:sz w:val="20"/>
              </w:rPr>
              <w:t>xxxx</w:t>
            </w:r>
          </w:p>
        </w:tc>
        <w:tc>
          <w:tcPr>
            <w:cnfStyle w:val="100001000000"/>
            <w:tcW w:w="720" w:type="dxa"/>
          </w:tcPr>
          <w:p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rPr>
                <w:rFonts w:ascii="Times New Roman" w:hAnsi="Times New Roman"/>
                <w:b w:val="off"/>
                <w:color w:val="auto"/>
                <w:sz w:val="20"/>
              </w:rPr>
            </w:pPr>
            <w:r>
              <w:rPr>
                <w:rFonts w:ascii="Times New Roman" w:hAnsi="Times New Roman"/>
                <w:b w:val="off"/>
                <w:color w:val="auto"/>
                <w:sz w:val="20"/>
              </w:rPr>
              <w:t>Dato:</w:t>
            </w:r>
          </w:p>
        </w:tc>
        <w:tc>
          <w:tcPr>
            <w:cnfStyle w:val="100100000000"/>
            <w:tcW w:w="1574" w:type="dxa"/>
          </w:tcPr>
          <w:p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rPr>
                <w:rFonts w:ascii="Times New Roman" w:hAnsi="Times New Roman"/>
                <w:b w:val="off"/>
                <w:color w:val="auto"/>
                <w:sz w:val="20"/>
              </w:rPr>
            </w:pPr>
            <w:r>
              <w:rPr>
                <w:rFonts w:ascii="Times New Roman" w:hAnsi="Times New Roman"/>
                <w:b w:val="off"/>
                <w:color w:val="auto"/>
                <w:sz w:val="20"/>
              </w:rPr>
              <w:t>17</w:t>
            </w:r>
            <w:r>
              <w:rPr>
                <w:rFonts w:ascii="Times New Roman" w:hAnsi="Times New Roman"/>
                <w:b w:val="off"/>
                <w:color w:val="auto"/>
                <w:sz w:val="20"/>
              </w:rPr>
              <w:t>.0</w:t>
            </w:r>
            <w:r>
              <w:rPr>
                <w:rFonts w:ascii="Times New Roman" w:hAnsi="Times New Roman"/>
                <w:b w:val="off"/>
                <w:color w:val="auto"/>
                <w:sz w:val="20"/>
              </w:rPr>
              <w:t>9</w:t>
            </w:r>
            <w:bookmarkStart w:id="1" w:name="_GoBack"/>
            <w:bookmarkEnd w:id="1"/>
            <w:r>
              <w:rPr>
                <w:rFonts w:ascii="Times New Roman" w:hAnsi="Times New Roman"/>
                <w:b w:val="off"/>
                <w:color w:val="auto"/>
                <w:sz w:val="20"/>
              </w:rPr>
              <w:t>.</w:t>
            </w:r>
            <w:r>
              <w:rPr>
                <w:rFonts w:ascii="Times New Roman" w:hAnsi="Times New Roman"/>
                <w:b w:val="off"/>
                <w:color w:val="auto"/>
                <w:sz w:val="20"/>
              </w:rPr>
              <w:t>2018</w:t>
            </w:r>
          </w:p>
        </w:tc>
      </w:tr>
    </w:tbl>
    <w:p>
      <w:pPr>
        <w:pStyle w:val="Default"/>
        <w:rPr/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bCs/>
          <w:color w:val="auto"/>
          <w:sz w:val="28"/>
          <w:szCs w:val="28"/>
          <w:lang w:val="nn-NO"/>
        </w:rPr>
      </w:pPr>
      <w:r>
        <w:rPr>
          <w:rFonts w:ascii="Times New Roman" w:hAnsi="Times New Roman"/>
          <w:bCs/>
          <w:color w:val="auto"/>
          <w:sz w:val="28"/>
          <w:szCs w:val="28"/>
          <w:lang w:val="nn-NO"/>
        </w:rPr>
        <w:t>Hø</w:t>
      </w:r>
      <w:r>
        <w:rPr>
          <w:rFonts w:ascii="Times New Roman" w:hAnsi="Times New Roman"/>
          <w:bCs/>
          <w:color w:val="auto"/>
          <w:sz w:val="28"/>
          <w:szCs w:val="28"/>
          <w:lang w:val="nn-NO"/>
        </w:rPr>
        <w:t>y</w:t>
      </w:r>
      <w:r>
        <w:rPr>
          <w:rFonts w:ascii="Times New Roman" w:hAnsi="Times New Roman"/>
          <w:bCs/>
          <w:color w:val="auto"/>
          <w:sz w:val="28"/>
          <w:szCs w:val="28"/>
          <w:lang w:val="nn-NO"/>
        </w:rPr>
        <w:t xml:space="preserve">ring – </w:t>
      </w:r>
      <w:r>
        <w:rPr>
          <w:rFonts w:ascii="Times New Roman" w:hAnsi="Times New Roman"/>
          <w:bCs/>
          <w:color w:val="auto"/>
          <w:sz w:val="28"/>
          <w:szCs w:val="28"/>
          <w:lang w:val="nn-NO"/>
        </w:rPr>
        <w:t>Intern høyring om PKO-ordnin</w:t>
      </w:r>
      <w:r>
        <w:rPr>
          <w:rFonts w:ascii="Times New Roman" w:hAnsi="Times New Roman"/>
          <w:bCs/>
          <w:color w:val="auto"/>
          <w:sz w:val="28"/>
          <w:szCs w:val="28"/>
          <w:lang w:val="nn-NO"/>
        </w:rPr>
        <w:t>ga</w:t>
      </w:r>
    </w:p>
    <w:p>
      <w:pPr>
        <w:rPr>
          <w:rFonts w:ascii="Times New Roman" w:hAnsi="Times New Roman"/>
          <w:bCs/>
          <w:color w:val="auto"/>
          <w:sz w:val="28"/>
          <w:szCs w:val="28"/>
          <w:lang w:val="nn-NO"/>
        </w:rPr>
      </w:pPr>
    </w:p>
    <w:p>
      <w:pPr>
        <w:shd w:val="clear" w:color="auto" w:fill="ffffff"/>
        <w:rPr>
          <w:rFonts w:ascii="Times New Roman" w:hAnsi="Times New Roman"/>
          <w:b w:val="off"/>
          <w:color w:val="222222"/>
          <w:sz w:val="24"/>
          <w:szCs w:val="24"/>
          <w:lang w:val="nn-NO"/>
        </w:rPr>
      </w:pP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 xml:space="preserve">Yngre legers 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>forening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 xml:space="preserve"> takkar for tilsendt høyring.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 xml:space="preserve"> Styret har behandla saka per e-post.</w:t>
      </w:r>
    </w:p>
    <w:p>
      <w:pPr>
        <w:shd w:val="clear" w:color="auto" w:fill="ffffff"/>
        <w:rPr>
          <w:rFonts w:cs="Arial"/>
          <w:b w:val="off"/>
          <w:color w:val="222222"/>
          <w:sz w:val="24"/>
          <w:szCs w:val="24"/>
          <w:lang w:val="nn-NO"/>
        </w:rPr>
      </w:pPr>
    </w:p>
    <w:p>
      <w:pPr>
        <w:shd w:val="clear" w:color="auto" w:fill="ffffff"/>
        <w:rPr>
          <w:rFonts w:cs="Arial"/>
          <w:b w:val="off"/>
          <w:color w:val="222222"/>
          <w:sz w:val="24"/>
          <w:szCs w:val="24"/>
          <w:lang w:val="nn-NO"/>
        </w:rPr>
      </w:pP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>Ylf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 xml:space="preserve"> støttar ei evaluering av PKO-ordninga, inkludert kor vidt ordninga har hatt den tilsikta effekten på samhandlinga. Vidare støttar 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>Ylf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 xml:space="preserve"> ei meir einsretta dimensjonering av ordninga. Det bør finnast praksiskonsulentar 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>tilknytta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 xml:space="preserve"> alle sjukehus, men utan ei omfattande oppskalering av ordninga 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>framstår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 xml:space="preserve"> det ikkje hensiktsmessig å knytte praksiskonsulentane opp til enkeltavdelingar innanfor sjukehuset.</w:t>
      </w:r>
    </w:p>
    <w:p>
      <w:pPr>
        <w:shd w:val="clear" w:color="auto" w:fill="ffffff"/>
        <w:rPr>
          <w:rFonts w:ascii="Times New Roman" w:hAnsi="Times New Roman"/>
          <w:b w:val="off"/>
          <w:color w:val="222222"/>
          <w:sz w:val="24"/>
          <w:szCs w:val="24"/>
          <w:lang w:val="nn-NO"/>
        </w:rPr>
      </w:pPr>
    </w:p>
    <w:p>
      <w:pPr>
        <w:shd w:val="clear" w:color="auto" w:fill="ffffff"/>
        <w:rPr>
          <w:rFonts w:cs="Arial"/>
          <w:b w:val="off"/>
          <w:color w:val="222222"/>
          <w:sz w:val="24"/>
          <w:szCs w:val="24"/>
          <w:lang w:val="nn-NO"/>
        </w:rPr>
      </w:pP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 xml:space="preserve">Sett frå spesialisthelsetenesta skjer samhandling med primærhelsetenesta på lågaste nivå i organisasjonen. Ordninga forvaltar 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>begrensa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 xml:space="preserve"> ressursar, og dei fleste legane 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>tilknytta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 xml:space="preserve"> PKO-ordninga har små stillingsbrøkar i sjukehusa. 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>Ylf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 xml:space="preserve"> meiner det er viktig regionale strukturar ikkje tar fokus bort frå det lokale samhandlingsarbeidet. Dette må takast med i vurderinga når ein tar stilling til om Helse Sør-Øst sin modell med «Regionalt PKO-nettverk» skal utviklast til ei nasjonal ordning.</w:t>
      </w:r>
    </w:p>
    <w:p>
      <w:pPr>
        <w:shd w:val="clear" w:color="auto" w:fill="ffffff"/>
        <w:rPr>
          <w:rFonts w:ascii="Times New Roman" w:hAnsi="Times New Roman"/>
          <w:b w:val="off"/>
          <w:color w:val="222222"/>
          <w:sz w:val="24"/>
          <w:szCs w:val="24"/>
          <w:lang w:val="nn-NO"/>
        </w:rPr>
      </w:pPr>
    </w:p>
    <w:p>
      <w:pPr>
        <w:shd w:val="clear" w:color="auto" w:fill="ffffff"/>
        <w:rPr>
          <w:rFonts w:cs="Arial"/>
          <w:b w:val="off"/>
          <w:color w:val="222222"/>
          <w:sz w:val="24"/>
          <w:szCs w:val="24"/>
          <w:lang w:val="nn-NO"/>
        </w:rPr>
      </w:pP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 xml:space="preserve">Kommunen vil etter 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>Ylf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 xml:space="preserve"> si oppfatning spele ei lita rolle i samhandlinga mellom sjukehus og fastlegekontor. Å gjera kommunane ansvarlege for ordninga i større grad enn i dag vil difor i liten grad påverke dette aspektet samhandlinga. For kommunikasjon med dei forskjellige legevaktene som betener sjukehusa stiller dette seg 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>imidlertid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 xml:space="preserve"> annleis, der må kommunane involverast. Å innføre delt ansvar for finansiering av PKO-ordninga mellom kommune og 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>helseforetak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 xml:space="preserve"> kan potensielt auke heller enn minke den regionale variasjonen i PKO-ordninga. 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>Ylf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 xml:space="preserve"> støttar difor at ansvaret for finansiering av PKO-ordninga 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>fortsatt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 xml:space="preserve"> ligg hos 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>helseforetaket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>.</w:t>
      </w:r>
    </w:p>
    <w:p>
      <w:pPr>
        <w:shd w:val="clear" w:color="auto" w:fill="ffffff"/>
        <w:rPr>
          <w:rFonts w:ascii="Times New Roman" w:hAnsi="Times New Roman"/>
          <w:b w:val="off"/>
          <w:color w:val="222222"/>
          <w:sz w:val="24"/>
          <w:szCs w:val="24"/>
          <w:lang w:val="nn-NO"/>
        </w:rPr>
      </w:pPr>
    </w:p>
    <w:p>
      <w:pPr>
        <w:shd w:val="clear" w:color="auto" w:fill="ffffff"/>
        <w:rPr>
          <w:rFonts w:cs="Arial"/>
          <w:b w:val="off"/>
          <w:color w:val="222222"/>
          <w:sz w:val="24"/>
          <w:szCs w:val="24"/>
          <w:lang w:val="nn-NO"/>
        </w:rPr>
      </w:pP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 xml:space="preserve">Heller enn å satse midlar på å etablere lokale PKO-ordningar i alle norske kommunar bør ein etter 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>Ylf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 xml:space="preserve"> sitt syn 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 xml:space="preserve">fokusere 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 xml:space="preserve">på å 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>utvikle</w:t>
      </w:r>
      <w:r>
        <w:rPr>
          <w:rFonts w:ascii="Times New Roman" w:hAnsi="Times New Roman"/>
          <w:b w:val="off"/>
          <w:color w:val="222222"/>
          <w:sz w:val="24"/>
          <w:szCs w:val="24"/>
          <w:lang w:val="nn-NO"/>
        </w:rPr>
        <w:t xml:space="preserve"> gode digitale dialogverktøy, framfor alt for sending og mottak av dialogmeldingar mellom fastlegar og sjukehuslegar. Fråværet av eit slikt verktøy er eit av dei største hindera for god samhandling.</w:t>
      </w:r>
    </w:p>
    <w:p>
      <w:pPr>
        <w:rPr>
          <w:rFonts w:ascii="Times New Roman" w:hAnsi="Times New Roman"/>
          <w:b w:val="off"/>
          <w:bCs/>
          <w:color w:val="auto"/>
          <w:sz w:val="24"/>
          <w:szCs w:val="24"/>
          <w:lang w:val="nn-NO"/>
        </w:rPr>
      </w:pPr>
    </w:p>
    <w:p>
      <w:pPr>
        <w:rPr>
          <w:rFonts w:ascii="Times New Roman" w:hAnsi="Times New Roman"/>
          <w:b w:val="off"/>
          <w:bCs/>
          <w:color w:val="auto"/>
          <w:sz w:val="24"/>
          <w:szCs w:val="24"/>
          <w:lang w:val="nn-NO"/>
        </w:rPr>
      </w:pPr>
    </w:p>
    <w:p>
      <w:pPr>
        <w:rPr>
          <w:rFonts w:ascii="Times New Roman" w:hAnsi="Times New Roman"/>
          <w:b w:val="off"/>
          <w:bCs/>
          <w:color w:val="auto"/>
          <w:sz w:val="24"/>
          <w:szCs w:val="24"/>
          <w:lang w:val="nn-NO"/>
        </w:rPr>
      </w:pPr>
    </w:p>
    <w:p>
      <w:pPr>
        <w:rPr>
          <w:rFonts w:ascii="Times New Roman" w:hAnsi="Times New Roman"/>
          <w:b w:val="off"/>
          <w:bCs/>
          <w:color w:val="auto"/>
          <w:sz w:val="24"/>
          <w:szCs w:val="24"/>
          <w:lang w:val="nn-NO"/>
        </w:rPr>
      </w:pPr>
      <w:r>
        <w:rPr>
          <w:rFonts w:ascii="Times New Roman" w:hAnsi="Times New Roman"/>
          <w:b w:val="off"/>
          <w:bCs/>
          <w:color w:val="auto"/>
          <w:sz w:val="24"/>
          <w:szCs w:val="24"/>
          <w:lang w:val="nn-NO"/>
        </w:rPr>
        <w:t xml:space="preserve">Med </w:t>
      </w:r>
      <w:r>
        <w:rPr>
          <w:rFonts w:ascii="Times New Roman" w:hAnsi="Times New Roman"/>
          <w:b w:val="off"/>
          <w:bCs/>
          <w:color w:val="auto"/>
          <w:sz w:val="24"/>
          <w:szCs w:val="24"/>
          <w:lang w:val="nn-NO"/>
        </w:rPr>
        <w:t>venleg helsing</w:t>
      </w:r>
    </w:p>
    <w:p>
      <w:pPr>
        <w:rPr>
          <w:rFonts w:ascii="Times New Roman" w:hAnsi="Times New Roman"/>
          <w:b w:val="off"/>
          <w:bCs/>
          <w:color w:val="auto"/>
          <w:sz w:val="24"/>
          <w:szCs w:val="24"/>
          <w:lang w:val="nn-NO"/>
        </w:rPr>
      </w:pPr>
      <w:r>
        <w:rPr>
          <w:rFonts w:ascii="Times New Roman" w:hAnsi="Times New Roman"/>
          <w:b w:val="off"/>
          <w:bCs/>
          <w:color w:val="auto"/>
          <w:sz w:val="24"/>
          <w:szCs w:val="24"/>
          <w:lang w:val="nn-NO"/>
        </w:rPr>
        <w:t>Yngre legers forening</w:t>
      </w:r>
    </w:p>
    <w:p>
      <w:pPr>
        <w:rPr>
          <w:rFonts w:ascii="Times New Roman" w:hAnsi="Times New Roman"/>
          <w:b w:val="off"/>
          <w:color w:val="auto"/>
          <w:sz w:val="24"/>
          <w:szCs w:val="24"/>
          <w:lang w:val="nn-NO"/>
        </w:rPr>
      </w:pPr>
    </w:p>
    <w:p>
      <w:pPr>
        <w:rPr>
          <w:rFonts w:ascii="Times New Roman" w:hAnsi="Times New Roman"/>
          <w:b w:val="off"/>
          <w:color w:val="auto"/>
          <w:sz w:val="24"/>
          <w:szCs w:val="24"/>
          <w:lang w:val="nn-NO"/>
        </w:rPr>
      </w:pPr>
    </w:p>
    <w:p>
      <w:pPr>
        <w:rPr>
          <w:rFonts w:ascii="Times New Roman" w:hAnsi="Times New Roman"/>
          <w:b w:val="off"/>
          <w:color w:val="auto"/>
          <w:sz w:val="24"/>
          <w:szCs w:val="24"/>
          <w:lang w:val="nn-NO"/>
        </w:rPr>
      </w:pPr>
      <w:r>
        <w:rPr>
          <w:rFonts w:ascii="Times New Roman" w:hAnsi="Times New Roman"/>
          <w:b w:val="off"/>
          <w:color w:val="auto"/>
          <w:sz w:val="24"/>
          <w:szCs w:val="24"/>
          <w:lang w:val="nn-NO"/>
        </w:rPr>
        <w:t>Christer Mjåset</w:t>
      </w:r>
    </w:p>
    <w:p>
      <w:pPr>
        <w:rPr>
          <w:rFonts w:ascii="Times New Roman" w:hAnsi="Times New Roman"/>
          <w:b w:val="off"/>
          <w:color w:val="auto"/>
          <w:sz w:val="24"/>
          <w:szCs w:val="24"/>
          <w:lang w:val="nn-NO"/>
        </w:rPr>
      </w:pPr>
      <w:r>
        <w:rPr>
          <w:rFonts w:ascii="Times New Roman" w:hAnsi="Times New Roman"/>
          <w:b w:val="off"/>
          <w:color w:val="auto"/>
          <w:sz w:val="24"/>
          <w:szCs w:val="24"/>
          <w:lang w:val="nn-NO"/>
        </w:rPr>
        <w:t>le</w:t>
      </w:r>
      <w:r>
        <w:rPr>
          <w:rFonts w:ascii="Times New Roman" w:hAnsi="Times New Roman"/>
          <w:b w:val="off"/>
          <w:color w:val="auto"/>
          <w:sz w:val="24"/>
          <w:szCs w:val="24"/>
          <w:lang w:val="nn-NO"/>
        </w:rPr>
        <w:t>ia</w:t>
      </w:r>
      <w:r>
        <w:rPr>
          <w:rFonts w:ascii="Times New Roman" w:hAnsi="Times New Roman"/>
          <w:b w:val="off"/>
          <w:color w:val="auto"/>
          <w:sz w:val="24"/>
          <w:szCs w:val="24"/>
          <w:lang w:val="nn-NO"/>
        </w:rPr>
        <w:t>r</w:t>
      </w:r>
    </w:p>
    <w:p>
      <w:pPr>
        <w:rPr>
          <w:rFonts w:ascii="Times New Roman" w:hAnsi="Times New Roman"/>
          <w:b w:val="off"/>
          <w:color w:val="auto"/>
          <w:sz w:val="24"/>
          <w:szCs w:val="24"/>
          <w:lang w:val="nn-NO"/>
        </w:rPr>
      </w:pPr>
    </w:p>
    <w:p>
      <w:pPr>
        <w:rPr>
          <w:rFonts w:ascii="Times New Roman" w:hAnsi="Times New Roman"/>
          <w:b w:val="off"/>
          <w:color w:val="auto"/>
          <w:sz w:val="24"/>
          <w:szCs w:val="24"/>
          <w:lang w:val="nn-NO"/>
        </w:rPr>
      </w:pPr>
    </w:p>
    <w:p>
      <w:pPr>
        <w:rPr>
          <w:rFonts w:ascii="Times New Roman" w:hAnsi="Times New Roman"/>
          <w:b w:val="off"/>
          <w:color w:val="auto"/>
          <w:sz w:val="24"/>
          <w:szCs w:val="24"/>
          <w:lang w:val="nn-NO"/>
        </w:rPr>
      </w:pPr>
    </w:p>
    <w:p>
      <w:pPr>
        <w:tabs>
          <w:tab w:val="left" w:pos="-1440"/>
          <w:tab w:val="left" w:pos="-720"/>
          <w:tab w:val="left" w:pos="0"/>
          <w:tab w:val="left" w:pos="3600"/>
          <w:tab w:val="left" w:pos="6120"/>
          <w:tab w:val="right" w:pos="8931"/>
          <w:tab w:val="left" w:pos="9360"/>
        </w:tabs>
        <w:rPr>
          <w:rFonts w:ascii="Times New Roman" w:hAnsi="Times New Roman"/>
          <w:b w:val="off"/>
          <w:sz w:val="24"/>
          <w:szCs w:val="24"/>
          <w:lang w:val="nn-NO"/>
        </w:rPr>
      </w:pPr>
      <w:r>
        <w:rPr>
          <w:rFonts w:ascii="Times New Roman" w:hAnsi="Times New Roman"/>
          <w:b w:val="off"/>
          <w:sz w:val="24"/>
          <w:szCs w:val="24"/>
          <w:lang w:val="nn-NO"/>
        </w:rPr>
        <w:t>Dokumentet er godkjent elektronisk</w:t>
      </w:r>
      <w:r>
        <w:rPr>
          <w:rFonts w:ascii="Times New Roman" w:hAnsi="Times New Roman"/>
          <w:b w:val="off"/>
          <w:sz w:val="24"/>
          <w:szCs w:val="24"/>
          <w:lang w:val="nn-NO"/>
        </w:rPr>
        <w:tab/>
      </w:r>
    </w:p>
    <w:p>
      <w:pPr>
        <w:rPr>
          <w:lang w:val="nn-NO"/>
        </w:rPr>
      </w:pPr>
      <w:bookmarkEnd w:id="0"/>
    </w:p>
    <w:sect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/>
  <w:endnotePr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38"/>
    <w:rsid w:val="000C1249"/>
    <w:rsid w:val="00183FA3"/>
    <w:rsid w:val="001D59EE"/>
    <w:rsid w:val="002157F4"/>
    <w:rsid w:val="00246C88"/>
    <w:rsid w:val="0033362A"/>
    <w:rsid w:val="003C496F"/>
    <w:rsid w:val="00465261"/>
    <w:rsid w:val="00484030"/>
    <w:rsid w:val="006352C3"/>
    <w:rsid w:val="00754B89"/>
    <w:rsid w:val="007B5E00"/>
    <w:rsid w:val="0082389B"/>
    <w:rsid w:val="009633AF"/>
    <w:rsid w:val="00A01438"/>
    <w:rsid w:val="00AD2095"/>
    <w:rsid w:val="00AE684F"/>
    <w:rsid w:val="00B17962"/>
    <w:rsid w:val="00B5164C"/>
    <w:rsid w:val="00CB3655"/>
    <w:rsid w:val="00E11877"/>
    <w:rsid w:val="00E521AA"/>
    <w:rsid w:val="00E84ADF"/>
    <w:rsid w:val="00EA2312"/>
    <w:rsid w:val="00ED556D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0D44"/>
  <w15:docId w15:val="{ED63FC4A-A7DB-4C59-A678-AE7FE9F0CE3A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nb-NO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uiPriority w:val="99"/>
    <w:qFormat w:val="on"/>
    <w:pPr>
      <w:spacing w:after="0" w:line="240" w:lineRule="auto"/>
    </w:pPr>
    <w:rPr>
      <w:rFonts w:ascii="Arial" w:cs="Times New Roman" w:eastAsia="Times New Roman" w:hAnsi="Arial"/>
      <w:b/>
      <w:color w:val="0000ff"/>
      <w:sz w:val="36"/>
      <w:szCs w:val="20"/>
      <w:lang w:eastAsia="nb-NO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nb-NO"/>
    </w:rPr>
  </w:style>
  <w:style w:type="character" w:customStyle="1" w:styleId="Il">
    <w:name w:val="Il"/>
    <w:basedOn w:val="DefaultParagraphFont"/>
    <w:uiPriority w:val="99"/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/>
    </w:pPr>
    <w:rPr>
      <w:rFonts w:ascii="Times New Roman" w:eastAsiaTheme="minorHAnsi" w:hAnsi="Times New Roman"/>
      <w:b w:val="off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Bratholm;Håvard Ravnestad</dc:creator>
  <cp:lastModifiedBy>Håvard Ravnestad</cp:lastModifiedBy>
</cp:coreProperties>
</file>