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55" w:rsidRDefault="00786B55">
      <w:pPr>
        <w:pStyle w:val="Tittel"/>
      </w:pPr>
      <w:r>
        <w:t xml:space="preserve">Norsk </w:t>
      </w:r>
      <w:proofErr w:type="spellStart"/>
      <w:r>
        <w:t>cardiologisk</w:t>
      </w:r>
      <w:proofErr w:type="spellEnd"/>
      <w:r>
        <w:t xml:space="preserve"> selskap – kvalitetsutvalget</w:t>
      </w:r>
    </w:p>
    <w:p w:rsidR="00786B55" w:rsidRDefault="00786B55"/>
    <w:p w:rsidR="00786B55" w:rsidRDefault="00786B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786B55" w:rsidRPr="009D3901">
        <w:tc>
          <w:tcPr>
            <w:tcW w:w="9212" w:type="dxa"/>
          </w:tcPr>
          <w:p w:rsidR="006B3C31" w:rsidRPr="006E1C20" w:rsidRDefault="00551C43" w:rsidP="008C7652">
            <w:pPr>
              <w:autoSpaceDE w:val="0"/>
              <w:autoSpaceDN w:val="0"/>
              <w:adjustRightInd w:val="0"/>
              <w:rPr>
                <w:b/>
                <w:sz w:val="28"/>
                <w:szCs w:val="28"/>
                <w:lang w:val="en-US"/>
              </w:rPr>
            </w:pPr>
            <w:r w:rsidRPr="006E1C20">
              <w:rPr>
                <w:b/>
                <w:sz w:val="28"/>
                <w:szCs w:val="28"/>
                <w:lang w:val="en-GB"/>
              </w:rPr>
              <w:t xml:space="preserve">2018 ESC Guidelines for the management of </w:t>
            </w:r>
            <w:r w:rsidR="00C90F2D" w:rsidRPr="0017154C">
              <w:rPr>
                <w:b/>
                <w:sz w:val="28"/>
                <w:szCs w:val="28"/>
                <w:lang w:val="en-GB"/>
              </w:rPr>
              <w:t>arterial hypertension</w:t>
            </w:r>
          </w:p>
          <w:p w:rsidR="00551C43" w:rsidRPr="006E1C20" w:rsidRDefault="00551C43" w:rsidP="00B402E4">
            <w:pPr>
              <w:autoSpaceDE w:val="0"/>
              <w:autoSpaceDN w:val="0"/>
              <w:adjustRightInd w:val="0"/>
              <w:rPr>
                <w:color w:val="000000"/>
                <w:sz w:val="28"/>
                <w:szCs w:val="28"/>
                <w:lang w:val="en-US"/>
              </w:rPr>
            </w:pPr>
          </w:p>
          <w:p w:rsidR="00551C43" w:rsidRDefault="009D3901" w:rsidP="00B402E4">
            <w:pPr>
              <w:autoSpaceDE w:val="0"/>
              <w:autoSpaceDN w:val="0"/>
              <w:adjustRightInd w:val="0"/>
              <w:rPr>
                <w:rStyle w:val="Hyperkobling"/>
                <w:lang w:val="en-US"/>
              </w:rPr>
            </w:pPr>
            <w:hyperlink r:id="rId7" w:history="1">
              <w:r w:rsidR="00466187" w:rsidRPr="001B63E5">
                <w:rPr>
                  <w:rStyle w:val="Hyperkobling"/>
                  <w:lang w:val="en-US"/>
                </w:rPr>
                <w:t>https://www.escardio.org/Guidelines/Clinical-Practice-Guidelines/Arterial-Hypertension-Management-of</w:t>
              </w:r>
            </w:hyperlink>
            <w:r w:rsidR="00466187">
              <w:rPr>
                <w:color w:val="000000"/>
                <w:lang w:val="en-US"/>
              </w:rPr>
              <w:t xml:space="preserve"> </w:t>
            </w:r>
          </w:p>
          <w:p w:rsidR="0009216B" w:rsidRPr="002920E0" w:rsidRDefault="0009216B" w:rsidP="00B402E4">
            <w:pPr>
              <w:autoSpaceDE w:val="0"/>
              <w:autoSpaceDN w:val="0"/>
              <w:adjustRightInd w:val="0"/>
              <w:rPr>
                <w:rStyle w:val="Hyperkobling"/>
                <w:lang w:val="en-US"/>
              </w:rPr>
            </w:pPr>
          </w:p>
          <w:p w:rsidR="003D2E92" w:rsidRPr="0003077C" w:rsidRDefault="00551C43" w:rsidP="00457A39">
            <w:pPr>
              <w:rPr>
                <w:color w:val="000000"/>
                <w:lang w:val="en-US"/>
              </w:rPr>
            </w:pPr>
            <w:r w:rsidRPr="00551C43">
              <w:rPr>
                <w:color w:val="000000"/>
                <w:lang w:val="en-US"/>
              </w:rPr>
              <w:t>European Heart Journal 2018</w:t>
            </w:r>
            <w:r w:rsidR="00457A39">
              <w:rPr>
                <w:color w:val="000000"/>
                <w:lang w:val="en-US"/>
              </w:rPr>
              <w:t>;</w:t>
            </w:r>
            <w:r w:rsidRPr="00551C43">
              <w:rPr>
                <w:color w:val="000000"/>
                <w:lang w:val="en-US"/>
              </w:rPr>
              <w:t>39</w:t>
            </w:r>
            <w:r w:rsidR="00457A39">
              <w:rPr>
                <w:color w:val="000000"/>
                <w:lang w:val="en-US"/>
              </w:rPr>
              <w:t>:</w:t>
            </w:r>
            <w:r w:rsidRPr="00551C43">
              <w:rPr>
                <w:color w:val="000000"/>
                <w:lang w:val="en-US"/>
              </w:rPr>
              <w:t xml:space="preserve"> </w:t>
            </w:r>
            <w:r w:rsidR="0009216B">
              <w:rPr>
                <w:lang w:val="en-GB"/>
              </w:rPr>
              <w:t>3021-104</w:t>
            </w:r>
            <w:r w:rsidR="0009216B">
              <w:rPr>
                <w:color w:val="000000"/>
                <w:lang w:val="en-US"/>
              </w:rPr>
              <w:t xml:space="preserve">        </w:t>
            </w:r>
            <w:r w:rsidR="0009216B" w:rsidRPr="00457A39">
              <w:rPr>
                <w:lang w:val="en-GB"/>
              </w:rPr>
              <w:t>doi.org/10.1093/</w:t>
            </w:r>
            <w:proofErr w:type="spellStart"/>
            <w:r w:rsidR="0009216B" w:rsidRPr="00457A39">
              <w:rPr>
                <w:lang w:val="en-GB"/>
              </w:rPr>
              <w:t>eurheartj</w:t>
            </w:r>
            <w:proofErr w:type="spellEnd"/>
            <w:r w:rsidR="0009216B" w:rsidRPr="00457A39">
              <w:rPr>
                <w:lang w:val="en-GB"/>
              </w:rPr>
              <w:t>/ehy339</w:t>
            </w:r>
          </w:p>
        </w:tc>
      </w:tr>
      <w:tr w:rsidR="00F72449">
        <w:tc>
          <w:tcPr>
            <w:tcW w:w="9212" w:type="dxa"/>
          </w:tcPr>
          <w:p w:rsidR="0009216B" w:rsidRPr="00C85DF2" w:rsidRDefault="0009216B" w:rsidP="0009216B">
            <w:pPr>
              <w:tabs>
                <w:tab w:val="num" w:pos="540"/>
              </w:tabs>
              <w:ind w:left="1080" w:right="-360" w:hanging="1080"/>
              <w:outlineLvl w:val="0"/>
            </w:pPr>
            <w:r w:rsidRPr="00C85DF2">
              <w:t xml:space="preserve">Kvalitetsutvalget har innhentet uttalelse fra: </w:t>
            </w:r>
          </w:p>
          <w:p w:rsidR="0009216B" w:rsidRDefault="0009216B" w:rsidP="0009216B">
            <w:pPr>
              <w:tabs>
                <w:tab w:val="num" w:pos="540"/>
              </w:tabs>
              <w:ind w:left="1080" w:right="-360" w:hanging="1080"/>
              <w:outlineLvl w:val="0"/>
            </w:pPr>
            <w:r>
              <w:t>Overlege</w:t>
            </w:r>
            <w:r w:rsidRPr="00C85DF2">
              <w:t xml:space="preserve"> dr. med. </w:t>
            </w:r>
            <w:r>
              <w:t>Rune Mo</w:t>
            </w:r>
            <w:r w:rsidRPr="00C85DF2">
              <w:t xml:space="preserve">, </w:t>
            </w:r>
            <w:r>
              <w:t>Klinikk for hjertemedisin, St. Olavs Hospital</w:t>
            </w:r>
            <w:r w:rsidR="00E957E6">
              <w:t xml:space="preserve"> og</w:t>
            </w:r>
          </w:p>
          <w:p w:rsidR="0009216B" w:rsidRPr="00C85DF2" w:rsidRDefault="00E957E6" w:rsidP="00A343FE">
            <w:pPr>
              <w:tabs>
                <w:tab w:val="num" w:pos="540"/>
              </w:tabs>
              <w:outlineLvl w:val="0"/>
            </w:pPr>
            <w:r>
              <w:t>O</w:t>
            </w:r>
            <w:r w:rsidR="0009216B">
              <w:t xml:space="preserve">verlege </w:t>
            </w:r>
            <w:proofErr w:type="spellStart"/>
            <w:r w:rsidR="0009216B">
              <w:t>PhD</w:t>
            </w:r>
            <w:proofErr w:type="spellEnd"/>
            <w:r w:rsidR="0009216B">
              <w:t xml:space="preserve"> Tonje </w:t>
            </w:r>
            <w:proofErr w:type="spellStart"/>
            <w:r w:rsidR="0009216B">
              <w:t>Amb</w:t>
            </w:r>
            <w:proofErr w:type="spellEnd"/>
            <w:r w:rsidR="0009216B">
              <w:t xml:space="preserve"> Aksnes, Seksjon for kardiologisk intervensjon Ullevål, Kardiologisk avdeling, OUS </w:t>
            </w:r>
          </w:p>
          <w:p w:rsidR="00F72449" w:rsidRPr="00C85DF2" w:rsidRDefault="00F72449" w:rsidP="00F72449">
            <w:pPr>
              <w:ind w:right="720"/>
              <w:rPr>
                <w:i/>
                <w:iCs/>
              </w:rPr>
            </w:pPr>
          </w:p>
          <w:p w:rsidR="0009216B" w:rsidRDefault="0009216B" w:rsidP="0009216B">
            <w:pPr>
              <w:shd w:val="clear" w:color="auto" w:fill="FFFFFF"/>
              <w:spacing w:before="120" w:after="120" w:line="270" w:lineRule="atLeast"/>
              <w:rPr>
                <w:bCs/>
              </w:rPr>
            </w:pPr>
            <w:r>
              <w:rPr>
                <w:bCs/>
                <w:i/>
              </w:rPr>
              <w:t>Deres vurdering for norske forhold gjengis (noe forkortet og tilpasset av KU):</w:t>
            </w:r>
          </w:p>
          <w:p w:rsidR="00F72449" w:rsidRPr="009324C5" w:rsidRDefault="00F72449" w:rsidP="00F72449">
            <w:pPr>
              <w:spacing w:before="100" w:beforeAutospacing="1" w:after="100" w:afterAutospacing="1"/>
              <w:rPr>
                <w:color w:val="333333"/>
              </w:rPr>
            </w:pPr>
            <w:r w:rsidRPr="009324C5">
              <w:rPr>
                <w:color w:val="333333"/>
              </w:rPr>
              <w:t xml:space="preserve">European </w:t>
            </w:r>
            <w:proofErr w:type="spellStart"/>
            <w:r w:rsidRPr="009324C5">
              <w:rPr>
                <w:color w:val="333333"/>
              </w:rPr>
              <w:t>Society</w:t>
            </w:r>
            <w:proofErr w:type="spellEnd"/>
            <w:r w:rsidRPr="009324C5">
              <w:rPr>
                <w:color w:val="333333"/>
              </w:rPr>
              <w:t xml:space="preserve"> </w:t>
            </w:r>
            <w:proofErr w:type="spellStart"/>
            <w:r w:rsidRPr="009324C5">
              <w:rPr>
                <w:color w:val="333333"/>
              </w:rPr>
              <w:t>of</w:t>
            </w:r>
            <w:proofErr w:type="spellEnd"/>
            <w:r w:rsidRPr="009324C5">
              <w:rPr>
                <w:color w:val="333333"/>
              </w:rPr>
              <w:t xml:space="preserve"> </w:t>
            </w:r>
            <w:proofErr w:type="spellStart"/>
            <w:r w:rsidRPr="009324C5">
              <w:rPr>
                <w:color w:val="333333"/>
              </w:rPr>
              <w:t>Cardiology</w:t>
            </w:r>
            <w:proofErr w:type="spellEnd"/>
            <w:r w:rsidRPr="009324C5">
              <w:rPr>
                <w:color w:val="333333"/>
              </w:rPr>
              <w:t xml:space="preserve"> og European </w:t>
            </w:r>
            <w:proofErr w:type="spellStart"/>
            <w:r w:rsidRPr="009324C5">
              <w:rPr>
                <w:color w:val="333333"/>
              </w:rPr>
              <w:t>Society</w:t>
            </w:r>
            <w:proofErr w:type="spellEnd"/>
            <w:r w:rsidRPr="009324C5">
              <w:rPr>
                <w:color w:val="333333"/>
              </w:rPr>
              <w:t xml:space="preserve"> </w:t>
            </w:r>
            <w:proofErr w:type="spellStart"/>
            <w:r w:rsidRPr="009324C5">
              <w:rPr>
                <w:color w:val="333333"/>
              </w:rPr>
              <w:t>of</w:t>
            </w:r>
            <w:proofErr w:type="spellEnd"/>
            <w:r w:rsidRPr="009324C5">
              <w:rPr>
                <w:color w:val="333333"/>
              </w:rPr>
              <w:t xml:space="preserve"> </w:t>
            </w:r>
            <w:proofErr w:type="spellStart"/>
            <w:r w:rsidRPr="009324C5">
              <w:rPr>
                <w:color w:val="333333"/>
              </w:rPr>
              <w:t>Hypertension</w:t>
            </w:r>
            <w:proofErr w:type="spellEnd"/>
            <w:r w:rsidRPr="009324C5">
              <w:rPr>
                <w:color w:val="333333"/>
              </w:rPr>
              <w:t xml:space="preserve"> (ESH) publiserte i 2018 reviderte retningslinjer for håndtering av arteriell hypertensjon</w:t>
            </w:r>
            <w:r w:rsidR="0017154C">
              <w:rPr>
                <w:color w:val="333333"/>
              </w:rPr>
              <w:t>,</w:t>
            </w:r>
            <w:r w:rsidRPr="009324C5">
              <w:rPr>
                <w:color w:val="333333"/>
              </w:rPr>
              <w:t xml:space="preserve"> </w:t>
            </w:r>
            <w:r w:rsidR="0017154C">
              <w:rPr>
                <w:color w:val="333333"/>
              </w:rPr>
              <w:t>f</w:t>
            </w:r>
            <w:r w:rsidRPr="009324C5">
              <w:rPr>
                <w:color w:val="333333"/>
              </w:rPr>
              <w:t>em år etter forrige utgave</w:t>
            </w:r>
            <w:r w:rsidR="005B2533">
              <w:rPr>
                <w:color w:val="333333"/>
              </w:rPr>
              <w:t xml:space="preserve">. </w:t>
            </w:r>
            <w:r w:rsidR="0017154C">
              <w:rPr>
                <w:color w:val="333333"/>
              </w:rPr>
              <w:t xml:space="preserve">De </w:t>
            </w:r>
            <w:r w:rsidRPr="009324C5">
              <w:rPr>
                <w:color w:val="333333"/>
              </w:rPr>
              <w:t>omhandler blodtrykk og hypertensjon for voksne over 18 år.</w:t>
            </w:r>
            <w:r>
              <w:rPr>
                <w:color w:val="333333"/>
              </w:rPr>
              <w:t xml:space="preserve"> </w:t>
            </w:r>
          </w:p>
          <w:p w:rsidR="00F72449" w:rsidRDefault="00F72449" w:rsidP="00F72449">
            <w:pPr>
              <w:spacing w:before="100" w:beforeAutospacing="1" w:after="100" w:afterAutospacing="1"/>
              <w:rPr>
                <w:color w:val="333333"/>
              </w:rPr>
            </w:pPr>
            <w:r w:rsidRPr="009324C5">
              <w:rPr>
                <w:color w:val="333333"/>
              </w:rPr>
              <w:t xml:space="preserve">I tillegg til en tradisjonell faglig gjennomgang, introduseres retningslinjene med et eget kapittel som punktvis presenterer det som er nytt og det som er endret, samt et praktisk nyttig oppsummerende kapittel om hva man skal </w:t>
            </w:r>
            <w:r w:rsidR="0017154C">
              <w:rPr>
                <w:color w:val="333333"/>
              </w:rPr>
              <w:t xml:space="preserve">eller ikke </w:t>
            </w:r>
            <w:r w:rsidRPr="009324C5">
              <w:rPr>
                <w:color w:val="333333"/>
              </w:rPr>
              <w:t>skal gjøre</w:t>
            </w:r>
            <w:r w:rsidR="0017154C">
              <w:rPr>
                <w:color w:val="333333"/>
              </w:rPr>
              <w:t>.</w:t>
            </w:r>
            <w:r w:rsidRPr="009324C5">
              <w:rPr>
                <w:color w:val="333333"/>
              </w:rPr>
              <w:t xml:space="preserve"> En utstrakt bruk av tabeller, flytdiagrammer og figurer letter tilgangen til informasjon og anbefalinger. </w:t>
            </w:r>
          </w:p>
          <w:p w:rsidR="00F72449" w:rsidRDefault="00F72449" w:rsidP="00F72449">
            <w:pPr>
              <w:autoSpaceDE w:val="0"/>
              <w:autoSpaceDN w:val="0"/>
              <w:adjustRightInd w:val="0"/>
              <w:rPr>
                <w:b/>
              </w:rPr>
            </w:pPr>
            <w:r w:rsidRPr="009324C5">
              <w:rPr>
                <w:b/>
              </w:rPr>
              <w:t>Definisjon av hypertensjon</w:t>
            </w:r>
          </w:p>
          <w:p w:rsidR="00F72449" w:rsidRDefault="00F72449" w:rsidP="00F72449">
            <w:pPr>
              <w:autoSpaceDE w:val="0"/>
              <w:autoSpaceDN w:val="0"/>
              <w:adjustRightInd w:val="0"/>
              <w:rPr>
                <w:b/>
              </w:rPr>
            </w:pPr>
            <w:r w:rsidRPr="009324C5">
              <w:t xml:space="preserve">Det var med en viss spenning man ventet på om de europeiske retningslinjene ville følge etter de amerikanske ACC/AHA 2017 </w:t>
            </w:r>
            <w:proofErr w:type="spellStart"/>
            <w:r w:rsidRPr="009324C5">
              <w:t>hypertension</w:t>
            </w:r>
            <w:proofErr w:type="spellEnd"/>
            <w:r w:rsidRPr="009324C5">
              <w:t xml:space="preserve"> guidelines</w:t>
            </w:r>
            <w:r w:rsidR="00802BDE">
              <w:t>,</w:t>
            </w:r>
            <w:r w:rsidRPr="009324C5">
              <w:t xml:space="preserve"> der man definerte grensen for hypertensjon til 130/80 mm</w:t>
            </w:r>
            <w:r w:rsidR="00E957E6">
              <w:t xml:space="preserve"> </w:t>
            </w:r>
            <w:r w:rsidRPr="009324C5">
              <w:t>Hg</w:t>
            </w:r>
            <w:r w:rsidR="00802BDE">
              <w:t>, altså</w:t>
            </w:r>
            <w:r w:rsidRPr="009324C5">
              <w:t xml:space="preserve"> lavere enn 140/90 som tidligere har vært en felles grense på begge sider av Atlanteren. </w:t>
            </w:r>
            <w:r w:rsidR="00892F6E">
              <w:t>R</w:t>
            </w:r>
            <w:r w:rsidRPr="009324C5">
              <w:t xml:space="preserve">isiko for </w:t>
            </w:r>
            <w:proofErr w:type="spellStart"/>
            <w:r w:rsidRPr="009324C5">
              <w:t>kardiovaskulære</w:t>
            </w:r>
            <w:proofErr w:type="spellEnd"/>
            <w:r w:rsidRPr="009324C5">
              <w:t xml:space="preserve"> og renale komplikasjoner har i observasjonelle studier vist seg å øke allerede fra et systolisk blodtrykk på 115 mm Hg, men en ”</w:t>
            </w:r>
            <w:proofErr w:type="spellStart"/>
            <w:r w:rsidRPr="009324C5">
              <w:t>cut-off</w:t>
            </w:r>
            <w:proofErr w:type="spellEnd"/>
            <w:r w:rsidRPr="009324C5">
              <w:t>” grense på 140/90 mm Hg har vært valgt pragmatisk for å forenkle diagnose og behandling. Det har seinere år kommet flere metaanalyser som har vist at blodtrykksreduksjon til under 130/80 mm Hg også har hatt effekt på kardiovaskulære endepunkt, særlig hjerneslag (</w:t>
            </w:r>
            <w:proofErr w:type="spellStart"/>
            <w:r w:rsidRPr="009324C5">
              <w:t>Thomopoulos</w:t>
            </w:r>
            <w:proofErr w:type="spellEnd"/>
            <w:r w:rsidRPr="009324C5">
              <w:t xml:space="preserve"> C et. al. </w:t>
            </w:r>
            <w:r w:rsidRPr="009324C5">
              <w:rPr>
                <w:i/>
              </w:rPr>
              <w:t xml:space="preserve">J </w:t>
            </w:r>
            <w:proofErr w:type="spellStart"/>
            <w:r w:rsidRPr="009324C5">
              <w:rPr>
                <w:i/>
              </w:rPr>
              <w:t>Hypertens</w:t>
            </w:r>
            <w:proofErr w:type="spellEnd"/>
            <w:r w:rsidRPr="009324C5">
              <w:t xml:space="preserve"> 2014 og 2016, </w:t>
            </w:r>
            <w:proofErr w:type="spellStart"/>
            <w:r w:rsidRPr="009324C5">
              <w:t>Ettehad</w:t>
            </w:r>
            <w:proofErr w:type="spellEnd"/>
            <w:r w:rsidRPr="009324C5">
              <w:t xml:space="preserve"> D et al. </w:t>
            </w:r>
            <w:proofErr w:type="spellStart"/>
            <w:r w:rsidRPr="009324C5">
              <w:rPr>
                <w:i/>
              </w:rPr>
              <w:t>Lancet</w:t>
            </w:r>
            <w:proofErr w:type="spellEnd"/>
            <w:r w:rsidRPr="009324C5">
              <w:t xml:space="preserve"> 2016). Ekstrapolering fra endepunktstudier med høyrisikopasienter har imidlertid sine begrensninger. Flere av studiene inkluderte pasienter i lavere blodtrykkskategorier som allerede f</w:t>
            </w:r>
            <w:r w:rsidR="006260B2">
              <w:t>ikk</w:t>
            </w:r>
            <w:r w:rsidRPr="009324C5">
              <w:t xml:space="preserve"> blodtrykksbehandling</w:t>
            </w:r>
            <w:r w:rsidR="00892F6E">
              <w:t>, og derved</w:t>
            </w:r>
            <w:r w:rsidR="005B2533">
              <w:t xml:space="preserve"> </w:t>
            </w:r>
            <w:r w:rsidRPr="009324C5">
              <w:t>ha</w:t>
            </w:r>
            <w:r w:rsidR="006260B2">
              <w:t>dde</w:t>
            </w:r>
            <w:r w:rsidRPr="009324C5">
              <w:t xml:space="preserve"> en annen risikoprofil enn ubehandlede pasienter med samme blodtrykk. ESC/ESH valgte å beholde grensen </w:t>
            </w:r>
            <w:r w:rsidR="00892F6E">
              <w:t>uendret: H</w:t>
            </w:r>
            <w:r w:rsidRPr="009324C5">
              <w:t xml:space="preserve">ypertensjon er </w:t>
            </w:r>
            <w:r>
              <w:t xml:space="preserve">fortsatt </w:t>
            </w:r>
            <w:r w:rsidRPr="009324C5">
              <w:t>definert som et vedvarende forhøyet kontorblodtrykk ≥ 140/90 mm Hg</w:t>
            </w:r>
            <w:r w:rsidR="00892F6E">
              <w:t>,</w:t>
            </w:r>
            <w:r w:rsidRPr="009324C5">
              <w:t xml:space="preserve"> som er ekvivalent til 24-timers ambulatorisk blodtrykk ≥ 130/80 mm Hg eller hjemme-</w:t>
            </w:r>
            <w:r w:rsidRPr="00500E7A">
              <w:t>blodtrykk ≥ 135/85 mm Hg</w:t>
            </w:r>
            <w:r w:rsidRPr="002B0074">
              <w:t xml:space="preserve">. </w:t>
            </w:r>
            <w:r w:rsidRPr="00500E7A">
              <w:t>Mens retningslinjene fra 2013 baserte diagnosen hypertensjon utelukkende på kontormålte blodtrykk</w:t>
            </w:r>
            <w:r w:rsidR="00892F6E">
              <w:t>,</w:t>
            </w:r>
            <w:r w:rsidRPr="00500E7A">
              <w:t xml:space="preserve"> anbefales nå at diagnosen bekreftes ved repeterte kontormålinger eller målinger utenfor kontoret i form av automatisk </w:t>
            </w:r>
            <w:proofErr w:type="spellStart"/>
            <w:r w:rsidRPr="00500E7A">
              <w:t>blodtrykksmonitorering</w:t>
            </w:r>
            <w:proofErr w:type="spellEnd"/>
            <w:r w:rsidRPr="009324C5">
              <w:rPr>
                <w:color w:val="333333"/>
              </w:rPr>
              <w:t xml:space="preserve"> eller </w:t>
            </w:r>
            <w:proofErr w:type="spellStart"/>
            <w:r w:rsidRPr="009324C5">
              <w:rPr>
                <w:color w:val="333333"/>
              </w:rPr>
              <w:t>hjemmeblodtrykksmålinger</w:t>
            </w:r>
            <w:proofErr w:type="spellEnd"/>
            <w:r w:rsidRPr="009324C5">
              <w:rPr>
                <w:color w:val="333333"/>
              </w:rPr>
              <w:t xml:space="preserve"> (I</w:t>
            </w:r>
            <w:r w:rsidR="00312008">
              <w:rPr>
                <w:color w:val="333333"/>
              </w:rPr>
              <w:t xml:space="preserve">, </w:t>
            </w:r>
            <w:r w:rsidRPr="009324C5">
              <w:rPr>
                <w:color w:val="333333"/>
              </w:rPr>
              <w:t xml:space="preserve">C). </w:t>
            </w:r>
            <w:r w:rsidRPr="009324C5">
              <w:t xml:space="preserve">Egne blodtrykksgrenser for barn og tenåringer finnes i ESH retningslinjer fra 2016. </w:t>
            </w:r>
          </w:p>
          <w:p w:rsidR="00892F6E" w:rsidRDefault="00F72449" w:rsidP="00F72449">
            <w:pPr>
              <w:spacing w:before="100" w:beforeAutospacing="1" w:after="100" w:afterAutospacing="1"/>
              <w:rPr>
                <w:b/>
                <w:color w:val="333333"/>
              </w:rPr>
            </w:pPr>
            <w:r w:rsidRPr="009324C5">
              <w:rPr>
                <w:b/>
                <w:color w:val="333333"/>
              </w:rPr>
              <w:t>Screening og blodtrykksmåling</w:t>
            </w:r>
          </w:p>
          <w:p w:rsidR="00F72449" w:rsidRPr="00B9053B" w:rsidRDefault="00F72449" w:rsidP="00F72449">
            <w:pPr>
              <w:spacing w:before="100" w:beforeAutospacing="1" w:after="100" w:afterAutospacing="1"/>
              <w:rPr>
                <w:b/>
                <w:color w:val="333333"/>
              </w:rPr>
            </w:pPr>
            <w:r w:rsidRPr="009324C5">
              <w:lastRenderedPageBreak/>
              <w:t>Screening og oppfølging av pasienter med ulike blodtrykksverdier skisseres grundig i de nye retningslinjene</w:t>
            </w:r>
            <w:r w:rsidR="00802BDE">
              <w:t>,</w:t>
            </w:r>
            <w:r w:rsidRPr="009324C5">
              <w:t xml:space="preserve"> der bl.a. alle voksne anbefales kontroll av blodtrykk minst hvert 5. år, og selvsagt hyppigere hos de</w:t>
            </w:r>
            <w:r w:rsidR="00892F6E">
              <w:t>m</w:t>
            </w:r>
            <w:r w:rsidRPr="009324C5">
              <w:t xml:space="preserve"> med høyt normalt blodtrykk og etablert hypertensjon</w:t>
            </w:r>
            <w:r w:rsidR="00892F6E">
              <w:t>.</w:t>
            </w:r>
            <w:r w:rsidR="005B2533">
              <w:t xml:space="preserve"> </w:t>
            </w:r>
            <w:r w:rsidR="00892F6E">
              <w:t>A</w:t>
            </w:r>
            <w:r w:rsidRPr="009324C5">
              <w:rPr>
                <w:color w:val="333333"/>
              </w:rPr>
              <w:t>lle over 18 år bør vite hva eget blodtrykk er (I</w:t>
            </w:r>
            <w:r w:rsidR="00312008">
              <w:rPr>
                <w:color w:val="333333"/>
              </w:rPr>
              <w:t>,</w:t>
            </w:r>
            <w:r w:rsidR="00802BDE">
              <w:rPr>
                <w:color w:val="333333"/>
              </w:rPr>
              <w:t xml:space="preserve"> </w:t>
            </w:r>
            <w:r w:rsidRPr="009324C5">
              <w:rPr>
                <w:color w:val="333333"/>
              </w:rPr>
              <w:t>B).</w:t>
            </w:r>
          </w:p>
          <w:p w:rsidR="00F72449" w:rsidRPr="009324C5" w:rsidRDefault="00F72449" w:rsidP="00F72449">
            <w:pPr>
              <w:spacing w:before="100" w:beforeAutospacing="1" w:after="100" w:afterAutospacing="1"/>
              <w:rPr>
                <w:color w:val="333333"/>
              </w:rPr>
            </w:pPr>
            <w:r w:rsidRPr="009324C5">
              <w:t>Blodtrykk skal fortsatt klassifiseres i henhold til kontorblodtrykk (I</w:t>
            </w:r>
            <w:r w:rsidR="00312008">
              <w:t xml:space="preserve">, </w:t>
            </w:r>
            <w:r w:rsidRPr="009324C5">
              <w:t>C)</w:t>
            </w:r>
            <w:r w:rsidR="00802BDE">
              <w:t>,</w:t>
            </w:r>
            <w:r w:rsidRPr="009324C5">
              <w:t xml:space="preserve"> og defineres på samme måte som tidligere (optimalt/normalt/høyt normalt og grad 1-3 hypertensjon). Dette skiller seg </w:t>
            </w:r>
            <w:r w:rsidR="00A83EB7">
              <w:t xml:space="preserve">også </w:t>
            </w:r>
            <w:r w:rsidRPr="009324C5">
              <w:t>fra ACC/AHA 2017 guidelines</w:t>
            </w:r>
            <w:r w:rsidR="00892F6E">
              <w:t>,</w:t>
            </w:r>
            <w:r w:rsidRPr="009324C5">
              <w:t xml:space="preserve"> som i tillegg til å definere hypertensjon som blodtrykk over 130/80 mm Hg</w:t>
            </w:r>
            <w:r>
              <w:t>,</w:t>
            </w:r>
            <w:r w:rsidRPr="009324C5">
              <w:t xml:space="preserve"> kun bruker to stadier for å gradere hypertensjon (Stage I: 130-139/80-89 mm Hg, Stage II: ≥ 140/90 mm Hg). Det finnes ingen randomiserte studier </w:t>
            </w:r>
            <w:r w:rsidR="002C19EF" w:rsidRPr="009324C5">
              <w:t>med</w:t>
            </w:r>
            <w:r w:rsidR="002C19EF">
              <w:t xml:space="preserve"> ”</w:t>
            </w:r>
            <w:r w:rsidR="002C19EF" w:rsidRPr="009324C5">
              <w:t>harde</w:t>
            </w:r>
            <w:r w:rsidRPr="009324C5">
              <w:t xml:space="preserve"> endepunkt” av ambulatorisk blodtrykksmåling</w:t>
            </w:r>
            <w:r w:rsidR="004430DC">
              <w:t>,</w:t>
            </w:r>
            <w:r w:rsidRPr="009324C5">
              <w:t xml:space="preserve"> og anbefalingene baserer seg på ekstrapolering av observasjonelle data</w:t>
            </w:r>
            <w:r w:rsidR="004430DC">
              <w:t>.</w:t>
            </w:r>
            <w:r w:rsidRPr="009324C5">
              <w:t xml:space="preserve"> ”</w:t>
            </w:r>
            <w:proofErr w:type="spellStart"/>
            <w:r w:rsidRPr="002B0074">
              <w:t>Unattended</w:t>
            </w:r>
            <w:proofErr w:type="spellEnd"/>
            <w:r w:rsidRPr="002B0074">
              <w:t xml:space="preserve"> </w:t>
            </w:r>
            <w:proofErr w:type="spellStart"/>
            <w:r w:rsidRPr="002B0074">
              <w:t>blood</w:t>
            </w:r>
            <w:proofErr w:type="spellEnd"/>
            <w:r w:rsidRPr="002B0074">
              <w:t xml:space="preserve"> </w:t>
            </w:r>
            <w:proofErr w:type="spellStart"/>
            <w:r w:rsidRPr="002B0074">
              <w:t>pressure</w:t>
            </w:r>
            <w:proofErr w:type="spellEnd"/>
            <w:r w:rsidRPr="002B0074">
              <w:t xml:space="preserve"> </w:t>
            </w:r>
            <w:proofErr w:type="spellStart"/>
            <w:r w:rsidRPr="002B0074">
              <w:t>measurement</w:t>
            </w:r>
            <w:proofErr w:type="spellEnd"/>
            <w:r w:rsidRPr="009324C5">
              <w:t>” som ble brukt i SPRINT</w:t>
            </w:r>
            <w:r w:rsidR="002C19EF">
              <w:t xml:space="preserve"> </w:t>
            </w:r>
            <w:r w:rsidRPr="009324C5">
              <w:t>(</w:t>
            </w:r>
            <w:proofErr w:type="spellStart"/>
            <w:r w:rsidRPr="002B0074">
              <w:t>Systolic</w:t>
            </w:r>
            <w:proofErr w:type="spellEnd"/>
            <w:r w:rsidRPr="002B0074">
              <w:t xml:space="preserve"> Blood </w:t>
            </w:r>
            <w:proofErr w:type="spellStart"/>
            <w:r w:rsidRPr="002B0074">
              <w:t>Pressure</w:t>
            </w:r>
            <w:proofErr w:type="spellEnd"/>
            <w:r w:rsidRPr="002B0074">
              <w:t xml:space="preserve"> </w:t>
            </w:r>
            <w:proofErr w:type="spellStart"/>
            <w:r w:rsidRPr="002B0074">
              <w:t>Intervention</w:t>
            </w:r>
            <w:proofErr w:type="spellEnd"/>
            <w:r w:rsidRPr="009324C5">
              <w:t xml:space="preserve"> Trial)</w:t>
            </w:r>
            <w:r w:rsidR="00A83EB7">
              <w:t>-</w:t>
            </w:r>
            <w:r w:rsidRPr="009324C5">
              <w:t>studien</w:t>
            </w:r>
            <w:r w:rsidR="004430DC">
              <w:t>,</w:t>
            </w:r>
            <w:r w:rsidRPr="009324C5">
              <w:t xml:space="preserve"> anbefales imidlertid ikke pga. usikker relasjon til kontorblodtrykk og udokumentert prognostisk effekt.</w:t>
            </w:r>
          </w:p>
          <w:p w:rsidR="00F72449" w:rsidRDefault="00F72449" w:rsidP="00F72449">
            <w:pPr>
              <w:autoSpaceDE w:val="0"/>
              <w:autoSpaceDN w:val="0"/>
              <w:adjustRightInd w:val="0"/>
            </w:pPr>
            <w:r w:rsidRPr="009324C5">
              <w:t>Isolert kontorhypertensjon («</w:t>
            </w:r>
            <w:r w:rsidRPr="002B0074">
              <w:rPr>
                <w:i/>
              </w:rPr>
              <w:t>white-</w:t>
            </w:r>
            <w:proofErr w:type="spellStart"/>
            <w:r w:rsidRPr="002B0074">
              <w:rPr>
                <w:i/>
              </w:rPr>
              <w:t>coa</w:t>
            </w:r>
            <w:r>
              <w:rPr>
                <w:i/>
              </w:rPr>
              <w:t>t</w:t>
            </w:r>
            <w:proofErr w:type="spellEnd"/>
            <w:r>
              <w:rPr>
                <w:i/>
              </w:rPr>
              <w:t xml:space="preserve"> </w:t>
            </w:r>
            <w:proofErr w:type="spellStart"/>
            <w:r>
              <w:rPr>
                <w:i/>
              </w:rPr>
              <w:t>hypertension</w:t>
            </w:r>
            <w:proofErr w:type="spellEnd"/>
            <w:r>
              <w:rPr>
                <w:i/>
              </w:rPr>
              <w:t>”</w:t>
            </w:r>
            <w:r w:rsidRPr="009324C5">
              <w:t>) og isolert ambulatorisk hypertensjon («</w:t>
            </w:r>
            <w:r w:rsidRPr="009324C5">
              <w:rPr>
                <w:i/>
              </w:rPr>
              <w:t>maskert hypertensjon</w:t>
            </w:r>
            <w:r w:rsidRPr="009324C5">
              <w:t>») er de seinere årene blitt velkjente begrep innen hypertensjonsfeltet. Nå introduseres også ”</w:t>
            </w:r>
            <w:proofErr w:type="spellStart"/>
            <w:r w:rsidRPr="002B0074">
              <w:t>masked</w:t>
            </w:r>
            <w:proofErr w:type="spellEnd"/>
            <w:r w:rsidRPr="002B0074">
              <w:t xml:space="preserve"> </w:t>
            </w:r>
            <w:proofErr w:type="spellStart"/>
            <w:r w:rsidRPr="002B0074">
              <w:t>uncontrolled</w:t>
            </w:r>
            <w:proofErr w:type="spellEnd"/>
            <w:r w:rsidRPr="002B0074">
              <w:t xml:space="preserve"> </w:t>
            </w:r>
            <w:proofErr w:type="spellStart"/>
            <w:r w:rsidRPr="002B0074">
              <w:t>hypertension</w:t>
            </w:r>
            <w:proofErr w:type="spellEnd"/>
            <w:r w:rsidRPr="009324C5">
              <w:t>” (</w:t>
            </w:r>
            <w:r w:rsidRPr="009324C5">
              <w:rPr>
                <w:i/>
              </w:rPr>
              <w:t>MUCH</w:t>
            </w:r>
            <w:r w:rsidR="004430DC">
              <w:t>,</w:t>
            </w:r>
            <w:r w:rsidRPr="009324C5">
              <w:t xml:space="preserve"> der kontorblodtrykk er kontrollert, men ikke hjemme-/ambulatorisk blodtrykk) eller ”</w:t>
            </w:r>
            <w:r w:rsidRPr="002B0074">
              <w:t>white-</w:t>
            </w:r>
            <w:proofErr w:type="spellStart"/>
            <w:r w:rsidRPr="002B0074">
              <w:t>coat</w:t>
            </w:r>
            <w:proofErr w:type="spellEnd"/>
            <w:r w:rsidRPr="002B0074">
              <w:t xml:space="preserve"> </w:t>
            </w:r>
            <w:proofErr w:type="spellStart"/>
            <w:r w:rsidRPr="002B0074">
              <w:t>uncontrolled</w:t>
            </w:r>
            <w:proofErr w:type="spellEnd"/>
            <w:r w:rsidRPr="002B0074">
              <w:t xml:space="preserve"> </w:t>
            </w:r>
            <w:proofErr w:type="spellStart"/>
            <w:r w:rsidRPr="002B0074">
              <w:t>hypertension</w:t>
            </w:r>
            <w:proofErr w:type="spellEnd"/>
            <w:r w:rsidRPr="009324C5">
              <w:t>” (</w:t>
            </w:r>
            <w:r w:rsidRPr="009324C5">
              <w:rPr>
                <w:i/>
              </w:rPr>
              <w:t>WUCH</w:t>
            </w:r>
            <w:r w:rsidRPr="009324C5">
              <w:t xml:space="preserve"> der kontorblodtrykk er forhøyet, men ikke hjemme-/ambulatorisk blodtrykk) og ”</w:t>
            </w:r>
            <w:proofErr w:type="spellStart"/>
            <w:r w:rsidRPr="002B0074">
              <w:t>sustained</w:t>
            </w:r>
            <w:proofErr w:type="spellEnd"/>
            <w:r w:rsidRPr="002B0074">
              <w:t xml:space="preserve"> </w:t>
            </w:r>
            <w:proofErr w:type="spellStart"/>
            <w:r w:rsidRPr="002B0074">
              <w:t>uncontrolled</w:t>
            </w:r>
            <w:proofErr w:type="spellEnd"/>
            <w:r w:rsidRPr="002B0074">
              <w:t xml:space="preserve"> </w:t>
            </w:r>
            <w:proofErr w:type="spellStart"/>
            <w:r w:rsidRPr="002B0074">
              <w:t>hypertension</w:t>
            </w:r>
            <w:proofErr w:type="spellEnd"/>
            <w:r w:rsidRPr="009324C5">
              <w:t>” (</w:t>
            </w:r>
            <w:r w:rsidRPr="009324C5">
              <w:rPr>
                <w:i/>
              </w:rPr>
              <w:t>SUCH</w:t>
            </w:r>
            <w:r w:rsidRPr="009324C5">
              <w:t xml:space="preserve"> der både kontor- og hjemme-/ambulatorisk blodtrykk er ukontrollert).</w:t>
            </w:r>
          </w:p>
          <w:p w:rsidR="00F72449" w:rsidRDefault="00F72449" w:rsidP="00F72449">
            <w:pPr>
              <w:autoSpaceDE w:val="0"/>
              <w:autoSpaceDN w:val="0"/>
              <w:adjustRightInd w:val="0"/>
            </w:pPr>
          </w:p>
          <w:p w:rsidR="00E9571F" w:rsidRDefault="00F72449" w:rsidP="00F72449">
            <w:pPr>
              <w:widowControl w:val="0"/>
              <w:autoSpaceDE w:val="0"/>
              <w:autoSpaceDN w:val="0"/>
              <w:adjustRightInd w:val="0"/>
              <w:rPr>
                <w:b/>
              </w:rPr>
            </w:pPr>
            <w:r w:rsidRPr="009324C5">
              <w:rPr>
                <w:b/>
              </w:rPr>
              <w:t>Utredning av pasienter med hypertensjon</w:t>
            </w:r>
          </w:p>
          <w:p w:rsidR="00E9571F" w:rsidRDefault="00E9571F" w:rsidP="00F72449">
            <w:pPr>
              <w:widowControl w:val="0"/>
              <w:autoSpaceDE w:val="0"/>
              <w:autoSpaceDN w:val="0"/>
              <w:adjustRightInd w:val="0"/>
              <w:rPr>
                <w:b/>
              </w:rPr>
            </w:pPr>
          </w:p>
          <w:p w:rsidR="00F72449" w:rsidRPr="009324C5" w:rsidRDefault="00F72449" w:rsidP="00F72449">
            <w:pPr>
              <w:widowControl w:val="0"/>
              <w:autoSpaceDE w:val="0"/>
              <w:autoSpaceDN w:val="0"/>
              <w:adjustRightInd w:val="0"/>
              <w:rPr>
                <w:b/>
              </w:rPr>
            </w:pPr>
            <w:r w:rsidRPr="009324C5">
              <w:t xml:space="preserve">De aller fleste </w:t>
            </w:r>
            <w:proofErr w:type="spellStart"/>
            <w:r w:rsidRPr="009324C5">
              <w:t>hypertonikere</w:t>
            </w:r>
            <w:proofErr w:type="spellEnd"/>
            <w:r w:rsidRPr="009324C5">
              <w:t xml:space="preserve"> har essensiell/primær hypertensjon, men man bør vurdere sekundær hypertensjon hos unge pasienter, </w:t>
            </w:r>
            <w:r w:rsidR="004430DC">
              <w:t>v</w:t>
            </w:r>
            <w:r w:rsidRPr="009324C5">
              <w:t>ed svært høyt og behandlingsresistent blodtrykk</w:t>
            </w:r>
            <w:r w:rsidR="004430DC">
              <w:t>,</w:t>
            </w:r>
            <w:r w:rsidR="00DE59AA">
              <w:t xml:space="preserve"> </w:t>
            </w:r>
            <w:r>
              <w:t>samt</w:t>
            </w:r>
            <w:r w:rsidRPr="009324C5">
              <w:t xml:space="preserve"> </w:t>
            </w:r>
            <w:r w:rsidR="004430DC">
              <w:t xml:space="preserve">tidligere </w:t>
            </w:r>
            <w:proofErr w:type="spellStart"/>
            <w:r w:rsidR="004430DC">
              <w:t>normotensive</w:t>
            </w:r>
            <w:proofErr w:type="spellEnd"/>
            <w:r w:rsidR="004430DC">
              <w:t xml:space="preserve"> </w:t>
            </w:r>
            <w:r w:rsidRPr="009324C5">
              <w:t>pasienter som brått får blodtrykksforhøyelse. Det er i de nye retningslinjene et sterkere fokus på oppfølging og medikamentetterlevelse som viktig årsak til at man ikk</w:t>
            </w:r>
            <w:r>
              <w:t xml:space="preserve">e når behandlingsmål, </w:t>
            </w:r>
            <w:r w:rsidRPr="009324C5">
              <w:t>og kontrollopplegg og behandlingsalgoritme skisseres.</w:t>
            </w:r>
          </w:p>
          <w:p w:rsidR="00F72449" w:rsidRPr="009324C5" w:rsidRDefault="00F72449" w:rsidP="00F72449">
            <w:pPr>
              <w:widowControl w:val="0"/>
              <w:autoSpaceDE w:val="0"/>
              <w:autoSpaceDN w:val="0"/>
              <w:adjustRightInd w:val="0"/>
            </w:pPr>
            <w:r w:rsidRPr="009324C5">
              <w:t>Et nytt begrep som introduseres</w:t>
            </w:r>
            <w:r w:rsidR="004430DC">
              <w:t>,</w:t>
            </w:r>
            <w:r w:rsidRPr="009324C5">
              <w:t xml:space="preserve"> er ”</w:t>
            </w:r>
            <w:proofErr w:type="spellStart"/>
            <w:r w:rsidRPr="002B0074">
              <w:t>hypertension-mediated</w:t>
            </w:r>
            <w:proofErr w:type="spellEnd"/>
            <w:r w:rsidRPr="002B0074">
              <w:t xml:space="preserve"> organ </w:t>
            </w:r>
            <w:proofErr w:type="spellStart"/>
            <w:r w:rsidRPr="002B0074">
              <w:t>damage</w:t>
            </w:r>
            <w:proofErr w:type="spellEnd"/>
            <w:r w:rsidRPr="002B0074">
              <w:t>” (</w:t>
            </w:r>
            <w:r w:rsidRPr="002B0074">
              <w:rPr>
                <w:i/>
              </w:rPr>
              <w:t>HMOD</w:t>
            </w:r>
            <w:r w:rsidRPr="009324C5">
              <w:t>) i stedet for tidligere ”</w:t>
            </w:r>
            <w:r w:rsidRPr="002B0074">
              <w:t xml:space="preserve">target organ </w:t>
            </w:r>
            <w:proofErr w:type="spellStart"/>
            <w:r w:rsidRPr="002B0074">
              <w:t>damage</w:t>
            </w:r>
            <w:proofErr w:type="spellEnd"/>
            <w:r w:rsidRPr="009324C5">
              <w:t>” (</w:t>
            </w:r>
            <w:r w:rsidRPr="009324C5">
              <w:rPr>
                <w:i/>
              </w:rPr>
              <w:t>TOD</w:t>
            </w:r>
            <w:r w:rsidRPr="009324C5">
              <w:t xml:space="preserve">). Begrepet inkluderer hypertensjonsinduserte strukturelle og/eller funksjonelle forandringer </w:t>
            </w:r>
            <w:r w:rsidR="00E9571F">
              <w:t xml:space="preserve">i </w:t>
            </w:r>
            <w:r w:rsidRPr="009324C5">
              <w:t>f.eks. hjerte, hjerne, retina, nyrer og kar</w:t>
            </w:r>
            <w:r w:rsidR="004430DC">
              <w:t>,</w:t>
            </w:r>
            <w:r w:rsidRPr="009324C5">
              <w:t xml:space="preserve"> som hjelper med å identifisere høyrisiko hypertensjonspasienter som ellers ikke ville blitt fanget opp av andre mer tradisjonelle </w:t>
            </w:r>
            <w:proofErr w:type="spellStart"/>
            <w:r w:rsidRPr="009324C5">
              <w:t>kardiovaskulære</w:t>
            </w:r>
            <w:proofErr w:type="spellEnd"/>
            <w:r w:rsidRPr="009324C5">
              <w:t xml:space="preserve"> risikofaktorer (</w:t>
            </w:r>
            <w:r w:rsidR="006565F8">
              <w:t>f</w:t>
            </w:r>
            <w:r w:rsidRPr="009324C5">
              <w:t>.eks. SCORE). Eksempler på HMOD er venstre ventrikkelhypertrofi (VVH), albuminuri/proteinuri og arteriell stivhet</w:t>
            </w:r>
            <w:r w:rsidR="004430DC">
              <w:t>,</w:t>
            </w:r>
            <w:r w:rsidRPr="009324C5">
              <w:t xml:space="preserve"> dvs. preklinisk eller </w:t>
            </w:r>
            <w:proofErr w:type="spellStart"/>
            <w:r w:rsidRPr="009324C5">
              <w:t>asymptomatisk</w:t>
            </w:r>
            <w:proofErr w:type="spellEnd"/>
            <w:r w:rsidRPr="009324C5">
              <w:t xml:space="preserve"> </w:t>
            </w:r>
            <w:proofErr w:type="spellStart"/>
            <w:r w:rsidRPr="009324C5">
              <w:t>kardiovaskulær</w:t>
            </w:r>
            <w:proofErr w:type="spellEnd"/>
            <w:r w:rsidRPr="009324C5">
              <w:t xml:space="preserve"> sykdom.</w:t>
            </w:r>
          </w:p>
          <w:p w:rsidR="00F72449" w:rsidRPr="009324C5" w:rsidRDefault="00F72449" w:rsidP="00F72449">
            <w:pPr>
              <w:spacing w:before="100" w:beforeAutospacing="1" w:after="100" w:afterAutospacing="1"/>
              <w:rPr>
                <w:b/>
                <w:color w:val="333333"/>
              </w:rPr>
            </w:pPr>
            <w:r>
              <w:rPr>
                <w:b/>
                <w:color w:val="333333"/>
              </w:rPr>
              <w:t>Noen i</w:t>
            </w:r>
            <w:r w:rsidRPr="009324C5">
              <w:rPr>
                <w:b/>
                <w:color w:val="333333"/>
              </w:rPr>
              <w:t>ntervensjonsgrenser er endret</w:t>
            </w:r>
          </w:p>
          <w:p w:rsidR="00F72449" w:rsidRPr="001067DB" w:rsidRDefault="00F72449" w:rsidP="00F72449">
            <w:pPr>
              <w:spacing w:before="100" w:beforeAutospacing="1" w:after="100" w:afterAutospacing="1"/>
              <w:rPr>
                <w:color w:val="333333"/>
              </w:rPr>
            </w:pPr>
            <w:r w:rsidRPr="009324C5">
              <w:rPr>
                <w:color w:val="333333"/>
              </w:rPr>
              <w:t>I 2013 ga høyt normalt blodtrykk (130-139/85-89 mm</w:t>
            </w:r>
            <w:r w:rsidR="00802BDE">
              <w:rPr>
                <w:color w:val="333333"/>
              </w:rPr>
              <w:t xml:space="preserve"> </w:t>
            </w:r>
            <w:r w:rsidRPr="009324C5">
              <w:rPr>
                <w:color w:val="333333"/>
              </w:rPr>
              <w:t>Hg) ikke grunnlag for medikamentell intervensjon, men de</w:t>
            </w:r>
            <w:r>
              <w:rPr>
                <w:color w:val="333333"/>
              </w:rPr>
              <w:t>tte kan</w:t>
            </w:r>
            <w:r w:rsidRPr="009324C5">
              <w:rPr>
                <w:color w:val="333333"/>
              </w:rPr>
              <w:t xml:space="preserve"> nå vurderes (</w:t>
            </w:r>
            <w:proofErr w:type="spellStart"/>
            <w:r w:rsidRPr="009324C5">
              <w:rPr>
                <w:color w:val="333333"/>
              </w:rPr>
              <w:t>IIb</w:t>
            </w:r>
            <w:proofErr w:type="spellEnd"/>
            <w:r w:rsidR="00312008">
              <w:rPr>
                <w:color w:val="333333"/>
              </w:rPr>
              <w:t xml:space="preserve">, </w:t>
            </w:r>
            <w:r w:rsidRPr="009324C5">
              <w:rPr>
                <w:color w:val="333333"/>
              </w:rPr>
              <w:t>A) ved høy total kardiovaskulær risiko, spesie</w:t>
            </w:r>
            <w:r>
              <w:rPr>
                <w:color w:val="333333"/>
              </w:rPr>
              <w:t>lt dersom</w:t>
            </w:r>
            <w:r w:rsidRPr="009324C5">
              <w:rPr>
                <w:color w:val="333333"/>
              </w:rPr>
              <w:t xml:space="preserve"> det foreligger koronarsykdom. Ved grad 2 og 3 hypertensjon anbefales det </w:t>
            </w:r>
            <w:r w:rsidR="002C19EF" w:rsidRPr="009324C5">
              <w:rPr>
                <w:color w:val="333333"/>
              </w:rPr>
              <w:t>rask</w:t>
            </w:r>
            <w:r w:rsidR="00DE59AA">
              <w:rPr>
                <w:color w:val="333333"/>
              </w:rPr>
              <w:t xml:space="preserve"> </w:t>
            </w:r>
            <w:r w:rsidRPr="009324C5">
              <w:rPr>
                <w:color w:val="333333"/>
              </w:rPr>
              <w:t>oppstart av medikamentell behandling (I</w:t>
            </w:r>
            <w:r w:rsidR="00312008">
              <w:rPr>
                <w:color w:val="333333"/>
              </w:rPr>
              <w:t xml:space="preserve">, </w:t>
            </w:r>
            <w:r w:rsidRPr="009324C5">
              <w:rPr>
                <w:color w:val="333333"/>
              </w:rPr>
              <w:t>A), samtidig med intervensjon på livsstil som anbefales hos alle. Ved grad 1</w:t>
            </w:r>
            <w:r w:rsidR="004430DC">
              <w:rPr>
                <w:color w:val="333333"/>
              </w:rPr>
              <w:t>-</w:t>
            </w:r>
            <w:r w:rsidRPr="009324C5">
              <w:rPr>
                <w:color w:val="333333"/>
              </w:rPr>
              <w:t xml:space="preserve">hypertensjon gis en grunnleggende anbefaling om </w:t>
            </w:r>
            <w:proofErr w:type="spellStart"/>
            <w:r w:rsidRPr="009324C5">
              <w:rPr>
                <w:color w:val="333333"/>
              </w:rPr>
              <w:t>livsstilsintervensjon</w:t>
            </w:r>
            <w:proofErr w:type="spellEnd"/>
            <w:r w:rsidRPr="009324C5">
              <w:rPr>
                <w:color w:val="333333"/>
              </w:rPr>
              <w:t xml:space="preserve">, men medikamentell behandling anbefales også ved høy </w:t>
            </w:r>
            <w:proofErr w:type="spellStart"/>
            <w:r w:rsidRPr="009324C5">
              <w:rPr>
                <w:color w:val="333333"/>
              </w:rPr>
              <w:t>kardiovaskulær</w:t>
            </w:r>
            <w:proofErr w:type="spellEnd"/>
            <w:r w:rsidRPr="009324C5">
              <w:rPr>
                <w:color w:val="333333"/>
              </w:rPr>
              <w:t xml:space="preserve"> risiko (I</w:t>
            </w:r>
            <w:r w:rsidR="00312008">
              <w:rPr>
                <w:color w:val="333333"/>
              </w:rPr>
              <w:t xml:space="preserve">, </w:t>
            </w:r>
            <w:r w:rsidRPr="009324C5">
              <w:rPr>
                <w:color w:val="333333"/>
              </w:rPr>
              <w:t xml:space="preserve">B). Ved grad 1 og lav til moderat kardiovaskulær risiko </w:t>
            </w:r>
            <w:r>
              <w:rPr>
                <w:color w:val="333333"/>
              </w:rPr>
              <w:t>uten HMOD</w:t>
            </w:r>
            <w:r w:rsidR="004430DC">
              <w:rPr>
                <w:color w:val="333333"/>
              </w:rPr>
              <w:t>,</w:t>
            </w:r>
            <w:r>
              <w:rPr>
                <w:color w:val="333333"/>
              </w:rPr>
              <w:t xml:space="preserve"> </w:t>
            </w:r>
            <w:r w:rsidRPr="009324C5">
              <w:rPr>
                <w:color w:val="333333"/>
              </w:rPr>
              <w:t xml:space="preserve">gis det nå en sterkere anbefaling enn tidligere for medikamentell behandling dersom blodtrykket forblir høyt på tross av en periode med </w:t>
            </w:r>
            <w:proofErr w:type="spellStart"/>
            <w:r w:rsidRPr="009324C5">
              <w:rPr>
                <w:color w:val="333333"/>
              </w:rPr>
              <w:t>livsstilsintervensjon</w:t>
            </w:r>
            <w:proofErr w:type="spellEnd"/>
            <w:r w:rsidRPr="009324C5">
              <w:rPr>
                <w:color w:val="333333"/>
              </w:rPr>
              <w:t xml:space="preserve"> (I</w:t>
            </w:r>
            <w:r w:rsidR="00312008">
              <w:rPr>
                <w:color w:val="333333"/>
              </w:rPr>
              <w:t xml:space="preserve">, </w:t>
            </w:r>
            <w:r w:rsidRPr="009324C5">
              <w:rPr>
                <w:color w:val="333333"/>
              </w:rPr>
              <w:t xml:space="preserve">A). </w:t>
            </w:r>
            <w:r w:rsidRPr="009324C5">
              <w:t xml:space="preserve">Det åpnes også for behandling av </w:t>
            </w:r>
            <w:r w:rsidRPr="009324C5">
              <w:lastRenderedPageBreak/>
              <w:t>”</w:t>
            </w:r>
            <w:proofErr w:type="spellStart"/>
            <w:r w:rsidRPr="002B0074">
              <w:t>white</w:t>
            </w:r>
            <w:proofErr w:type="spellEnd"/>
            <w:r w:rsidRPr="002B0074">
              <w:t xml:space="preserve"> </w:t>
            </w:r>
            <w:proofErr w:type="spellStart"/>
            <w:r w:rsidRPr="002B0074">
              <w:t>coat</w:t>
            </w:r>
            <w:proofErr w:type="spellEnd"/>
            <w:r>
              <w:t xml:space="preserve"> </w:t>
            </w:r>
            <w:proofErr w:type="spellStart"/>
            <w:r>
              <w:t>hypertensio</w:t>
            </w:r>
            <w:r w:rsidRPr="009324C5">
              <w:t>n</w:t>
            </w:r>
            <w:proofErr w:type="spellEnd"/>
            <w:r w:rsidRPr="009324C5">
              <w:t xml:space="preserve">” med tegn til hypertensiv organskade og høy </w:t>
            </w:r>
            <w:proofErr w:type="spellStart"/>
            <w:r w:rsidRPr="009324C5">
              <w:t>kardiovaskulær</w:t>
            </w:r>
            <w:proofErr w:type="spellEnd"/>
            <w:r w:rsidR="006565F8">
              <w:t xml:space="preserve"> </w:t>
            </w:r>
            <w:r w:rsidRPr="009324C5">
              <w:t>risiko.</w:t>
            </w:r>
          </w:p>
          <w:p w:rsidR="00F72449" w:rsidRDefault="00F72449" w:rsidP="00F72449">
            <w:pPr>
              <w:spacing w:before="100" w:beforeAutospacing="1" w:after="100" w:afterAutospacing="1"/>
              <w:rPr>
                <w:color w:val="333333"/>
              </w:rPr>
            </w:pPr>
            <w:r w:rsidRPr="009324C5">
              <w:rPr>
                <w:color w:val="333333"/>
              </w:rPr>
              <w:t xml:space="preserve">De reviderte retningslinjene gir </w:t>
            </w:r>
            <w:r>
              <w:rPr>
                <w:color w:val="333333"/>
              </w:rPr>
              <w:t xml:space="preserve">også </w:t>
            </w:r>
            <w:r w:rsidRPr="009324C5">
              <w:rPr>
                <w:color w:val="333333"/>
              </w:rPr>
              <w:t>endrede intervensjonsgrenser for eldre</w:t>
            </w:r>
            <w:r w:rsidR="004430DC">
              <w:rPr>
                <w:color w:val="333333"/>
              </w:rPr>
              <w:t>,</w:t>
            </w:r>
            <w:r w:rsidRPr="009324C5">
              <w:rPr>
                <w:color w:val="333333"/>
              </w:rPr>
              <w:t xml:space="preserve"> og avgrenser alderskategorier skarpere enn i tidligere anbefalinger. </w:t>
            </w:r>
            <w:proofErr w:type="spellStart"/>
            <w:r w:rsidRPr="009324C5">
              <w:rPr>
                <w:color w:val="333333"/>
              </w:rPr>
              <w:t>Livsstilsintervensjon</w:t>
            </w:r>
            <w:proofErr w:type="spellEnd"/>
            <w:r w:rsidRPr="009324C5">
              <w:rPr>
                <w:color w:val="333333"/>
              </w:rPr>
              <w:t xml:space="preserve"> og medikamentell behandling anbefales hos pasienter i aldersgruppen 65-80 år med grad 1</w:t>
            </w:r>
            <w:r w:rsidR="006565F8">
              <w:rPr>
                <w:color w:val="333333"/>
              </w:rPr>
              <w:t>-</w:t>
            </w:r>
            <w:r w:rsidRPr="009324C5">
              <w:rPr>
                <w:color w:val="333333"/>
              </w:rPr>
              <w:t>hypertensjon (systolisk blodtrykk 140-159 mm</w:t>
            </w:r>
            <w:r w:rsidR="006565F8">
              <w:rPr>
                <w:color w:val="333333"/>
              </w:rPr>
              <w:t xml:space="preserve"> </w:t>
            </w:r>
            <w:r w:rsidRPr="009324C5">
              <w:rPr>
                <w:color w:val="333333"/>
              </w:rPr>
              <w:t>Hg) under forutsetning av at behandlingen tolereres (I</w:t>
            </w:r>
            <w:r w:rsidR="00312008">
              <w:rPr>
                <w:color w:val="333333"/>
              </w:rPr>
              <w:t xml:space="preserve">, </w:t>
            </w:r>
            <w:r w:rsidRPr="009324C5">
              <w:rPr>
                <w:color w:val="333333"/>
              </w:rPr>
              <w:t>A).  Hos eldre over 80 år med godt funksjonsnivå for øvrig, anbefales medikamentell behandling ved systolisk blodtrykk over 160 mm</w:t>
            </w:r>
            <w:r w:rsidR="006565F8">
              <w:rPr>
                <w:color w:val="333333"/>
              </w:rPr>
              <w:t xml:space="preserve"> </w:t>
            </w:r>
            <w:r w:rsidRPr="009324C5">
              <w:rPr>
                <w:color w:val="333333"/>
              </w:rPr>
              <w:t>Hg (I</w:t>
            </w:r>
            <w:r w:rsidR="00312008">
              <w:rPr>
                <w:color w:val="333333"/>
              </w:rPr>
              <w:t xml:space="preserve">, </w:t>
            </w:r>
            <w:r w:rsidRPr="009324C5">
              <w:rPr>
                <w:color w:val="333333"/>
              </w:rPr>
              <w:t xml:space="preserve">A). Alder gir </w:t>
            </w:r>
            <w:r w:rsidRPr="009324C5">
              <w:rPr>
                <w:i/>
                <w:color w:val="333333"/>
              </w:rPr>
              <w:t>per se</w:t>
            </w:r>
            <w:r w:rsidRPr="009324C5">
              <w:rPr>
                <w:color w:val="333333"/>
              </w:rPr>
              <w:t xml:space="preserve"> ikke indikasjon for å seponere behandling hvis den kan gjennomføres uten problemer (III</w:t>
            </w:r>
            <w:r w:rsidR="00312008">
              <w:rPr>
                <w:color w:val="333333"/>
              </w:rPr>
              <w:t xml:space="preserve">, </w:t>
            </w:r>
            <w:r w:rsidRPr="009324C5">
              <w:rPr>
                <w:color w:val="333333"/>
              </w:rPr>
              <w:t>A).</w:t>
            </w:r>
          </w:p>
          <w:p w:rsidR="00F72449" w:rsidRPr="009324C5" w:rsidRDefault="00F72449" w:rsidP="00F72449">
            <w:pPr>
              <w:spacing w:before="100" w:beforeAutospacing="1" w:after="100" w:afterAutospacing="1"/>
              <w:rPr>
                <w:b/>
                <w:color w:val="333333"/>
              </w:rPr>
            </w:pPr>
            <w:r w:rsidRPr="009324C5">
              <w:rPr>
                <w:b/>
                <w:color w:val="333333"/>
              </w:rPr>
              <w:t>Behandlingsmålene er satt lavere enn tidligere</w:t>
            </w:r>
            <w:r w:rsidR="004430DC">
              <w:rPr>
                <w:b/>
                <w:color w:val="333333"/>
              </w:rPr>
              <w:t>,</w:t>
            </w:r>
            <w:r w:rsidRPr="009324C5">
              <w:rPr>
                <w:b/>
                <w:color w:val="333333"/>
              </w:rPr>
              <w:t xml:space="preserve"> og med sterkere anbefalinger</w:t>
            </w:r>
          </w:p>
          <w:p w:rsidR="00F72449" w:rsidRPr="001067DB" w:rsidRDefault="00F72449" w:rsidP="00F72449">
            <w:pPr>
              <w:spacing w:before="100" w:beforeAutospacing="1" w:after="100" w:afterAutospacing="1"/>
              <w:rPr>
                <w:color w:val="333333"/>
              </w:rPr>
            </w:pPr>
            <w:r w:rsidRPr="009324C5">
              <w:rPr>
                <w:color w:val="333333"/>
              </w:rPr>
              <w:t>Mens retningslinjene fra 2013 hadde grunnlag for et ge</w:t>
            </w:r>
            <w:r>
              <w:rPr>
                <w:color w:val="333333"/>
              </w:rPr>
              <w:t>nerelt behandlingsmål &lt;</w:t>
            </w:r>
            <w:r w:rsidRPr="009324C5">
              <w:rPr>
                <w:color w:val="333333"/>
              </w:rPr>
              <w:t xml:space="preserve"> 140/90 mm</w:t>
            </w:r>
            <w:r w:rsidR="004430DC">
              <w:rPr>
                <w:color w:val="333333"/>
              </w:rPr>
              <w:t xml:space="preserve"> </w:t>
            </w:r>
            <w:r w:rsidRPr="009324C5">
              <w:rPr>
                <w:color w:val="333333"/>
              </w:rPr>
              <w:t xml:space="preserve">Hg, nyanseres dette i de nye retningslinjene. </w:t>
            </w:r>
            <w:r w:rsidRPr="009324C5">
              <w:t>Det er fortsatt ca. 50</w:t>
            </w:r>
            <w:r w:rsidR="004430DC">
              <w:t xml:space="preserve"> </w:t>
            </w:r>
            <w:r w:rsidRPr="009324C5">
              <w:t>% av europeiske hypertensjonspasienter som ikke når</w:t>
            </w:r>
            <w:r w:rsidRPr="009324C5">
              <w:rPr>
                <w:color w:val="333333"/>
              </w:rPr>
              <w:t xml:space="preserve"> </w:t>
            </w:r>
            <w:r w:rsidRPr="009324C5">
              <w:t>blodtrykksmålet &lt; 140/90 mm Hg</w:t>
            </w:r>
            <w:r>
              <w:t>. D</w:t>
            </w:r>
            <w:r w:rsidRPr="009324C5">
              <w:t>ersom behandlingen tolereres</w:t>
            </w:r>
            <w:r w:rsidR="004430DC">
              <w:t>,</w:t>
            </w:r>
            <w:r w:rsidRPr="009324C5">
              <w:t xml:space="preserve"> tilstrebes et blodtrykk ned mot 130/80 mm Hg for de fleste</w:t>
            </w:r>
            <w:r w:rsidR="004430DC">
              <w:t>,</w:t>
            </w:r>
            <w:r w:rsidRPr="009324C5">
              <w:t xml:space="preserve"> og for de under 65 år skal det vurderes å senke systolisk blodtrykk til 120-130 mm Hg (I</w:t>
            </w:r>
            <w:r w:rsidR="00312008">
              <w:t xml:space="preserve">, </w:t>
            </w:r>
            <w:r w:rsidRPr="009324C5">
              <w:t>A), me</w:t>
            </w:r>
            <w:r>
              <w:t>n ikke under 120 mm Hg</w:t>
            </w:r>
            <w:r w:rsidRPr="009324C5">
              <w:t xml:space="preserve">. </w:t>
            </w:r>
            <w:r>
              <w:t xml:space="preserve">Man hadde </w:t>
            </w:r>
            <w:r w:rsidRPr="009324C5">
              <w:t>tidligere høyere og mindre aggre</w:t>
            </w:r>
            <w:r>
              <w:t>ssive blodtrykksmål hos eldre, men det vektlegges at man h</w:t>
            </w:r>
            <w:r w:rsidRPr="009324C5">
              <w:t xml:space="preserve">os de aller eldste </w:t>
            </w:r>
            <w:r>
              <w:t xml:space="preserve">(&gt; 80 år) </w:t>
            </w:r>
            <w:r w:rsidRPr="009324C5">
              <w:t xml:space="preserve">skal se mer på </w:t>
            </w:r>
            <w:r>
              <w:t>biologisk enn kronologisk alder.</w:t>
            </w:r>
            <w:r>
              <w:rPr>
                <w:color w:val="333333"/>
              </w:rPr>
              <w:t xml:space="preserve"> </w:t>
            </w:r>
            <w:r w:rsidRPr="009324C5">
              <w:t>Et systolisk blodtrykksmål på 130-139 mm Hg gjelder også for spesielle pasientgrupper som diabetikere og pasienter med kronisk nyresvikt. Diastolisk blodtrykksmål er &lt; 80 mm Hg (</w:t>
            </w:r>
            <w:proofErr w:type="spellStart"/>
            <w:r w:rsidRPr="009324C5">
              <w:t>IIa</w:t>
            </w:r>
            <w:proofErr w:type="spellEnd"/>
            <w:r w:rsidR="00312008">
              <w:t xml:space="preserve">, </w:t>
            </w:r>
            <w:r w:rsidRPr="009324C5">
              <w:t xml:space="preserve">B) </w:t>
            </w:r>
            <w:r>
              <w:t xml:space="preserve">for alle, </w:t>
            </w:r>
            <w:r w:rsidRPr="009324C5">
              <w:t xml:space="preserve">selv om det mangler like sterk dokumentasjon som for systoliske mål. </w:t>
            </w:r>
          </w:p>
          <w:p w:rsidR="00F72449" w:rsidRPr="001D0D0B" w:rsidRDefault="00F72449" w:rsidP="00F72449">
            <w:pPr>
              <w:autoSpaceDE w:val="0"/>
              <w:autoSpaceDN w:val="0"/>
              <w:adjustRightInd w:val="0"/>
              <w:rPr>
                <w:b/>
              </w:rPr>
            </w:pPr>
            <w:r w:rsidRPr="001D0D0B">
              <w:rPr>
                <w:b/>
              </w:rPr>
              <w:t>Ved indikasjon for medikamentell intervensjon, er kombinasjonsbehandling foretrukket strategi</w:t>
            </w:r>
          </w:p>
          <w:p w:rsidR="00F72449" w:rsidRDefault="00F72449" w:rsidP="00F72449">
            <w:pPr>
              <w:autoSpaceDE w:val="0"/>
              <w:autoSpaceDN w:val="0"/>
              <w:adjustRightInd w:val="0"/>
            </w:pPr>
          </w:p>
          <w:p w:rsidR="00F72449" w:rsidRPr="009324C5" w:rsidRDefault="00F72449" w:rsidP="00F72449">
            <w:pPr>
              <w:autoSpaceDE w:val="0"/>
              <w:autoSpaceDN w:val="0"/>
              <w:adjustRightInd w:val="0"/>
            </w:pPr>
            <w:r w:rsidRPr="009324C5">
              <w:t>B</w:t>
            </w:r>
            <w:r>
              <w:t>lodtrykksb</w:t>
            </w:r>
            <w:r w:rsidRPr="009324C5">
              <w:t xml:space="preserve">ehandling består </w:t>
            </w:r>
            <w:r>
              <w:t xml:space="preserve">i hovedsak </w:t>
            </w:r>
            <w:r w:rsidRPr="009324C5">
              <w:t xml:space="preserve">av </w:t>
            </w:r>
            <w:proofErr w:type="spellStart"/>
            <w:r w:rsidRPr="009324C5">
              <w:t>livsstilsintervensjon</w:t>
            </w:r>
            <w:proofErr w:type="spellEnd"/>
            <w:r w:rsidRPr="009324C5">
              <w:t xml:space="preserve"> og medikamentell behandling. Livsstilintervensjon (saltreduksjon, moderat alkoholforbruk, sunn kost, mosjon, vektreduksjon, røykestopp mm.) </w:t>
            </w:r>
            <w:r w:rsidR="006565F8">
              <w:t xml:space="preserve">utsetter </w:t>
            </w:r>
            <w:r w:rsidRPr="009324C5">
              <w:t>behovet for oppstart av medikamenter</w:t>
            </w:r>
            <w:r w:rsidR="000219D6">
              <w:t>,</w:t>
            </w:r>
            <w:r w:rsidRPr="009324C5">
              <w:t xml:space="preserve"> og kompletterer effekt av medikamentene</w:t>
            </w:r>
            <w:r w:rsidR="006565F8">
              <w:t>.</w:t>
            </w:r>
          </w:p>
          <w:p w:rsidR="00F72449" w:rsidRPr="009324C5" w:rsidRDefault="00F72449" w:rsidP="00F72449">
            <w:pPr>
              <w:autoSpaceDE w:val="0"/>
              <w:autoSpaceDN w:val="0"/>
              <w:adjustRightInd w:val="0"/>
            </w:pPr>
          </w:p>
          <w:p w:rsidR="00F72449" w:rsidRPr="009324C5" w:rsidRDefault="00F72449" w:rsidP="00F72449">
            <w:pPr>
              <w:autoSpaceDE w:val="0"/>
              <w:autoSpaceDN w:val="0"/>
              <w:adjustRightInd w:val="0"/>
            </w:pPr>
            <w:r w:rsidRPr="009324C5">
              <w:t>Medikamenter er fortsatt ryggraden i blodtrykksbehandling</w:t>
            </w:r>
            <w:r>
              <w:t>en,</w:t>
            </w:r>
            <w:r w:rsidRPr="009324C5">
              <w:t xml:space="preserve"> og de fem anbefalte medikamentgruppene (ACE-hemmer, </w:t>
            </w:r>
            <w:proofErr w:type="spellStart"/>
            <w:r w:rsidRPr="009324C5">
              <w:t>angiotensin</w:t>
            </w:r>
            <w:proofErr w:type="spellEnd"/>
            <w:r w:rsidRPr="009324C5">
              <w:t xml:space="preserve">-reseptor blokker (ARB), betablokker, diuretika, kalsiumblokker (CCB)) har alle vist seg effektive til å redusere blodtrykk og kardiovaskulære hendelser. Man anbefaler nå generelt å starte behandling med to medikamenter hos de fleste pasienter </w:t>
            </w:r>
            <w:r w:rsidR="000219D6">
              <w:t>fordi</w:t>
            </w:r>
            <w:r>
              <w:t xml:space="preserve"> </w:t>
            </w:r>
            <w:r w:rsidRPr="009324C5">
              <w:t xml:space="preserve">monoterapi ofte er </w:t>
            </w:r>
            <w:r w:rsidR="000219D6">
              <w:t>utilstrekkelig,</w:t>
            </w:r>
            <w:r w:rsidRPr="009324C5">
              <w:t xml:space="preserve"> og helst som én tablett </w:t>
            </w:r>
            <w:r w:rsidR="00D3157A">
              <w:t>(SPC (</w:t>
            </w:r>
            <w:r>
              <w:t>”</w:t>
            </w:r>
            <w:r w:rsidRPr="009324C5">
              <w:rPr>
                <w:i/>
              </w:rPr>
              <w:t>single pill combination</w:t>
            </w:r>
            <w:r>
              <w:rPr>
                <w:i/>
              </w:rPr>
              <w:t>”</w:t>
            </w:r>
            <w:r w:rsidRPr="009324C5">
              <w:t>) I</w:t>
            </w:r>
            <w:r w:rsidR="00312008">
              <w:t xml:space="preserve">, </w:t>
            </w:r>
            <w:r w:rsidRPr="009324C5">
              <w:t>B). Unntak</w:t>
            </w:r>
            <w:r>
              <w:t>ene</w:t>
            </w:r>
            <w:r w:rsidRPr="009324C5">
              <w:t xml:space="preserve"> der man fortsatt vil vurdere monoterapi</w:t>
            </w:r>
            <w:r w:rsidR="000219D6">
              <w:t>,</w:t>
            </w:r>
            <w:r w:rsidRPr="009324C5">
              <w:t xml:space="preserve"> er </w:t>
            </w:r>
            <w:r w:rsidR="000219D6">
              <w:t>ved</w:t>
            </w:r>
            <w:r w:rsidRPr="009324C5">
              <w:t xml:space="preserve"> kun lett forhøyet blodtrykk</w:t>
            </w:r>
            <w:r w:rsidR="000219D6">
              <w:t>,</w:t>
            </w:r>
            <w:r w:rsidRPr="009324C5">
              <w:t xml:space="preserve"> og eldre</w:t>
            </w:r>
            <w:r w:rsidR="000219D6">
              <w:t>,</w:t>
            </w:r>
            <w:r w:rsidRPr="009324C5">
              <w:t xml:space="preserve"> skrøpelige pasienter der mer forsiktig blodtrykkssenkning er påkrevet. En forenklet behandlingsalgoritme er presentert der man anbefaler ACE-hemmer/ARB (A) og CCB (C) eller</w:t>
            </w:r>
            <w:r>
              <w:t>/og</w:t>
            </w:r>
            <w:r w:rsidRPr="009324C5">
              <w:t xml:space="preserve"> diuretika (D) som initial behandling uavhengig av </w:t>
            </w:r>
            <w:proofErr w:type="spellStart"/>
            <w:r w:rsidRPr="009324C5">
              <w:t>komorbiditet</w:t>
            </w:r>
            <w:proofErr w:type="spellEnd"/>
            <w:r w:rsidRPr="009324C5">
              <w:t xml:space="preserve">. Betablokker anbefales kun </w:t>
            </w:r>
            <w:r>
              <w:t>på</w:t>
            </w:r>
            <w:r w:rsidRPr="009324C5">
              <w:t xml:space="preserve"> spesielle indikasjoner (angina pectoris, postinfarkt, hjertesvikt, arytmi). </w:t>
            </w:r>
            <w:proofErr w:type="spellStart"/>
            <w:r w:rsidRPr="009324C5">
              <w:t>Aldosteronantagonist</w:t>
            </w:r>
            <w:proofErr w:type="spellEnd"/>
            <w:r w:rsidRPr="009324C5">
              <w:t xml:space="preserve"> (</w:t>
            </w:r>
            <w:proofErr w:type="spellStart"/>
            <w:r>
              <w:t>s</w:t>
            </w:r>
            <w:r w:rsidRPr="009324C5">
              <w:t>pir</w:t>
            </w:r>
            <w:r>
              <w:t>o</w:t>
            </w:r>
            <w:r w:rsidRPr="009324C5">
              <w:t>nolakton</w:t>
            </w:r>
            <w:proofErr w:type="spellEnd"/>
            <w:r w:rsidRPr="009324C5">
              <w:t xml:space="preserve"> 25-50 mg) anbefales som tilleggsmedikament til de som tolererer dette</w:t>
            </w:r>
            <w:r w:rsidR="000219D6">
              <w:t>,</w:t>
            </w:r>
            <w:r w:rsidRPr="009324C5">
              <w:t xml:space="preserve"> og som ikke når behandlingsmålet til tross for de tre</w:t>
            </w:r>
            <w:r>
              <w:t xml:space="preserve"> (A+C+D)</w:t>
            </w:r>
            <w:r w:rsidRPr="009324C5">
              <w:t xml:space="preserve"> først</w:t>
            </w:r>
            <w:r>
              <w:t>e</w:t>
            </w:r>
            <w:r w:rsidRPr="009324C5">
              <w:t xml:space="preserve"> anbefalte medikamentene.</w:t>
            </w:r>
          </w:p>
          <w:p w:rsidR="00F72449" w:rsidRPr="009324C5" w:rsidRDefault="00F72449" w:rsidP="00F72449">
            <w:pPr>
              <w:autoSpaceDE w:val="0"/>
              <w:autoSpaceDN w:val="0"/>
              <w:adjustRightInd w:val="0"/>
            </w:pPr>
          </w:p>
          <w:p w:rsidR="00F72449" w:rsidRPr="009324C5" w:rsidRDefault="00F72449" w:rsidP="00F72449">
            <w:pPr>
              <w:autoSpaceDE w:val="0"/>
              <w:autoSpaceDN w:val="0"/>
              <w:adjustRightInd w:val="0"/>
            </w:pPr>
            <w:r w:rsidRPr="009324C5">
              <w:t xml:space="preserve">Instrumentell terapi (renal </w:t>
            </w:r>
            <w:proofErr w:type="spellStart"/>
            <w:r w:rsidRPr="009324C5">
              <w:t>denervering</w:t>
            </w:r>
            <w:proofErr w:type="spellEnd"/>
            <w:r w:rsidRPr="009324C5">
              <w:t xml:space="preserve">, </w:t>
            </w:r>
            <w:proofErr w:type="spellStart"/>
            <w:r w:rsidRPr="009324C5">
              <w:t>barorefleksstimulerin</w:t>
            </w:r>
            <w:r w:rsidR="00D3157A">
              <w:t>g</w:t>
            </w:r>
            <w:proofErr w:type="spellEnd"/>
            <w:r w:rsidRPr="009324C5">
              <w:t>) so</w:t>
            </w:r>
            <w:r>
              <w:t>m blodtrykksbehandling har</w:t>
            </w:r>
            <w:r w:rsidRPr="009324C5">
              <w:t xml:space="preserve"> ingen plass i </w:t>
            </w:r>
            <w:r>
              <w:t xml:space="preserve">vanlig </w:t>
            </w:r>
            <w:r w:rsidRPr="009324C5">
              <w:t xml:space="preserve">klinisk bruk </w:t>
            </w:r>
            <w:r w:rsidR="000219D6">
              <w:t>med mindre det er</w:t>
            </w:r>
            <w:r w:rsidRPr="009324C5">
              <w:t xml:space="preserve"> ledd i studier/forskningsprosjekter</w:t>
            </w:r>
            <w:r>
              <w:t xml:space="preserve"> (III</w:t>
            </w:r>
            <w:r w:rsidR="00312008">
              <w:t xml:space="preserve">, </w:t>
            </w:r>
            <w:r>
              <w:t>A)</w:t>
            </w:r>
            <w:r w:rsidRPr="009324C5">
              <w:t>.</w:t>
            </w:r>
          </w:p>
          <w:p w:rsidR="00F72449" w:rsidRPr="009324C5" w:rsidRDefault="00F72449" w:rsidP="00F72449">
            <w:pPr>
              <w:autoSpaceDE w:val="0"/>
              <w:autoSpaceDN w:val="0"/>
              <w:adjustRightInd w:val="0"/>
            </w:pPr>
          </w:p>
          <w:p w:rsidR="00F72449" w:rsidRPr="009324C5" w:rsidRDefault="00F72449" w:rsidP="00F72449">
            <w:pPr>
              <w:autoSpaceDE w:val="0"/>
              <w:autoSpaceDN w:val="0"/>
              <w:adjustRightInd w:val="0"/>
            </w:pPr>
            <w:r w:rsidRPr="009324C5">
              <w:t xml:space="preserve">Annen behandling slik som </w:t>
            </w:r>
            <w:proofErr w:type="spellStart"/>
            <w:r w:rsidRPr="009324C5">
              <w:t>statin</w:t>
            </w:r>
            <w:r w:rsidR="000219D6">
              <w:t>er</w:t>
            </w:r>
            <w:proofErr w:type="spellEnd"/>
            <w:r w:rsidRPr="009324C5">
              <w:t xml:space="preserve"> hos hypertensive pasienter med etablert </w:t>
            </w:r>
            <w:proofErr w:type="spellStart"/>
            <w:r w:rsidRPr="009324C5">
              <w:t>kardiovaskulær</w:t>
            </w:r>
            <w:proofErr w:type="spellEnd"/>
            <w:r w:rsidRPr="009324C5">
              <w:t xml:space="preserve"> sykdom</w:t>
            </w:r>
            <w:r w:rsidR="000219D6">
              <w:t>,</w:t>
            </w:r>
            <w:r w:rsidRPr="009324C5">
              <w:t xml:space="preserve"> er viktig. </w:t>
            </w:r>
            <w:proofErr w:type="spellStart"/>
            <w:r w:rsidRPr="009324C5">
              <w:t>Platehemmere</w:t>
            </w:r>
            <w:proofErr w:type="spellEnd"/>
            <w:r w:rsidRPr="009324C5">
              <w:t xml:space="preserve"> </w:t>
            </w:r>
            <w:r>
              <w:t xml:space="preserve">som acetylsalisylsyre </w:t>
            </w:r>
            <w:r w:rsidRPr="009324C5">
              <w:t xml:space="preserve">anbefales kun </w:t>
            </w:r>
            <w:r>
              <w:t xml:space="preserve">som </w:t>
            </w:r>
            <w:r w:rsidRPr="009324C5">
              <w:lastRenderedPageBreak/>
              <w:t>sekundærprofylakse</w:t>
            </w:r>
            <w:r w:rsidR="000219D6">
              <w:t>,</w:t>
            </w:r>
            <w:r>
              <w:t xml:space="preserve"> ikke som primærprofylakse.</w:t>
            </w:r>
          </w:p>
          <w:p w:rsidR="00F72449" w:rsidRPr="009324C5" w:rsidRDefault="00F72449" w:rsidP="00F72449">
            <w:pPr>
              <w:autoSpaceDE w:val="0"/>
              <w:autoSpaceDN w:val="0"/>
              <w:adjustRightInd w:val="0"/>
            </w:pPr>
          </w:p>
          <w:p w:rsidR="00F72449" w:rsidRPr="009324C5" w:rsidRDefault="00F72449" w:rsidP="00F72449">
            <w:pPr>
              <w:autoSpaceDE w:val="0"/>
              <w:autoSpaceDN w:val="0"/>
              <w:adjustRightInd w:val="0"/>
            </w:pPr>
            <w:r w:rsidRPr="009324C5">
              <w:t>Det er i de nye retningslinjene også inkludert egne</w:t>
            </w:r>
            <w:r>
              <w:t xml:space="preserve"> og</w:t>
            </w:r>
            <w:r w:rsidRPr="009324C5">
              <w:t xml:space="preserve"> leseverdige kapit</w:t>
            </w:r>
            <w:r w:rsidR="00D3157A">
              <w:t>ler</w:t>
            </w:r>
            <w:r w:rsidRPr="009324C5">
              <w:t xml:space="preserve"> for spesielle tilfeller </w:t>
            </w:r>
            <w:r w:rsidR="000219D6">
              <w:t>som</w:t>
            </w:r>
            <w:r w:rsidRPr="009324C5">
              <w:t xml:space="preserve"> behandlingsresistent hypertensjon, sekundær hypertensjon, malign hypertensjon og hypertensjon ved andre tilstander som graviditet, diabetes, nyresvikt, KOLS, </w:t>
            </w:r>
            <w:proofErr w:type="spellStart"/>
            <w:r w:rsidRPr="009324C5">
              <w:t>kardiovaskulær</w:t>
            </w:r>
            <w:proofErr w:type="spellEnd"/>
            <w:r w:rsidRPr="009324C5">
              <w:t xml:space="preserve"> sykdom, atrieflimmer.</w:t>
            </w:r>
          </w:p>
          <w:p w:rsidR="00F72449" w:rsidRPr="009324C5" w:rsidRDefault="00F72449" w:rsidP="00F72449">
            <w:pPr>
              <w:autoSpaceDE w:val="0"/>
              <w:autoSpaceDN w:val="0"/>
              <w:adjustRightInd w:val="0"/>
            </w:pPr>
          </w:p>
          <w:p w:rsidR="00D3157A" w:rsidRDefault="00F72449" w:rsidP="00466187">
            <w:pPr>
              <w:shd w:val="clear" w:color="auto" w:fill="FFFFFF"/>
              <w:spacing w:before="120" w:after="120" w:line="270" w:lineRule="atLeast"/>
            </w:pPr>
            <w:r w:rsidRPr="009324C5">
              <w:rPr>
                <w:b/>
              </w:rPr>
              <w:t>Konklusjon:</w:t>
            </w:r>
            <w:r w:rsidRPr="009324C5">
              <w:t xml:space="preserve"> </w:t>
            </w:r>
          </w:p>
          <w:p w:rsidR="00F72449" w:rsidRDefault="00F72449" w:rsidP="00A46A36">
            <w:pPr>
              <w:shd w:val="clear" w:color="auto" w:fill="FFFFFF"/>
              <w:spacing w:before="120" w:after="120" w:line="270" w:lineRule="atLeast"/>
            </w:pPr>
            <w:r w:rsidRPr="009324C5">
              <w:t xml:space="preserve">I de </w:t>
            </w:r>
            <w:r w:rsidRPr="00A343FE">
              <w:rPr>
                <w:b/>
                <w:i/>
              </w:rPr>
              <w:t>norske</w:t>
            </w:r>
            <w:r w:rsidRPr="00A343FE">
              <w:rPr>
                <w:i/>
              </w:rPr>
              <w:t xml:space="preserve"> nasjonale faglige retningslinjer for forebygging av hjerte- og karsykdom</w:t>
            </w:r>
            <w:r w:rsidRPr="009324C5">
              <w:t xml:space="preserve"> anbefales personer med behandlingstrengende hypertensjon i alle aldre opp til 80 år</w:t>
            </w:r>
            <w:r w:rsidR="00D3157A">
              <w:t>,</w:t>
            </w:r>
            <w:r w:rsidRPr="009324C5">
              <w:t xml:space="preserve"> livsstilstiltak og legemiddelbehandling for å oppnå et stabilt blodtrykk &lt; 140/90 mm Hg (over 80 år &lt; 150 mm Hg)</w:t>
            </w:r>
            <w:r w:rsidR="00D3157A">
              <w:t xml:space="preserve">. Dette er </w:t>
            </w:r>
            <w:r w:rsidRPr="009324C5">
              <w:t>et mindre aggressivt mål enn de nye ESC/ESH retningslinjene. Legemiddelbehandling i de norske retningslinjene anbefales også først hos alle dersom systolisk BT ≥ 160 mm Hg og/eller diastolisk BT ≥</w:t>
            </w:r>
            <w:r>
              <w:t xml:space="preserve"> </w:t>
            </w:r>
            <w:r w:rsidRPr="009324C5">
              <w:t>100 mm Hg, samt ved BT ≥</w:t>
            </w:r>
            <w:r>
              <w:t xml:space="preserve"> </w:t>
            </w:r>
            <w:r w:rsidRPr="009324C5">
              <w:t xml:space="preserve">140/90 mm Hg når det foreligger påvist organskade og/eller diabetes. At man i de nyeste europeiske retningslinjer </w:t>
            </w:r>
            <w:r>
              <w:t>i noen grad har senket intervensjonsgrensene, og at det nå gis anbefalinger om mer</w:t>
            </w:r>
            <w:r w:rsidRPr="009324C5">
              <w:t xml:space="preserve"> aggressive blodtrykksmål</w:t>
            </w:r>
            <w:r>
              <w:t>,</w:t>
            </w:r>
            <w:r w:rsidRPr="009324C5">
              <w:t xml:space="preserve"> er kanskje det mest kontroversiel</w:t>
            </w:r>
            <w:r>
              <w:t>le</w:t>
            </w:r>
            <w:r w:rsidRPr="009324C5">
              <w:t xml:space="preserve"> for norske forhold</w:t>
            </w:r>
            <w:r>
              <w:t>. Retningslinjene er imidlertid klare på at det skal brukes k</w:t>
            </w:r>
            <w:r w:rsidRPr="009324C5">
              <w:t>linisk skjønn</w:t>
            </w:r>
            <w:r>
              <w:t>. Spesielt gjelder dette</w:t>
            </w:r>
            <w:r w:rsidRPr="009324C5">
              <w:t xml:space="preserve"> multisyke og skjøre eldre pasienter</w:t>
            </w:r>
            <w:r>
              <w:rPr>
                <w:color w:val="333333"/>
              </w:rPr>
              <w:t>.</w:t>
            </w:r>
            <w:r>
              <w:t xml:space="preserve"> Det redegjøres for at retningslinjene i stor grad </w:t>
            </w:r>
            <w:r w:rsidRPr="009324C5">
              <w:t>baserer seg på studier av relativt friske og velfungerende pasienter</w:t>
            </w:r>
            <w:r>
              <w:t>, og resultater derfra kan ikke uten videre ekstrapoleres til multimorbide, hjelpetrengende og/eller institusjonaliserte eldre</w:t>
            </w:r>
            <w:r w:rsidRPr="009324C5">
              <w:t xml:space="preserve">. </w:t>
            </w:r>
            <w:r w:rsidR="000219D6">
              <w:t>Vi mener at</w:t>
            </w:r>
            <w:r w:rsidRPr="009324C5">
              <w:t xml:space="preserve"> målene og rådene som gis</w:t>
            </w:r>
            <w:r w:rsidR="000219D6">
              <w:t>, er</w:t>
            </w:r>
            <w:r w:rsidRPr="009324C5">
              <w:t xml:space="preserve"> godt dokumentert</w:t>
            </w:r>
            <w:r w:rsidR="000219D6">
              <w:t>,</w:t>
            </w:r>
            <w:r w:rsidRPr="009324C5">
              <w:t xml:space="preserve"> og </w:t>
            </w:r>
            <w:r>
              <w:t xml:space="preserve">oppfattes som gode og </w:t>
            </w:r>
            <w:r w:rsidRPr="009324C5">
              <w:t>pragmatiske (</w:t>
            </w:r>
            <w:r>
              <w:t>f</w:t>
            </w:r>
            <w:r w:rsidRPr="009324C5">
              <w:t>.eks.</w:t>
            </w:r>
            <w:r>
              <w:t xml:space="preserve"> om å s</w:t>
            </w:r>
            <w:r w:rsidRPr="009324C5">
              <w:t xml:space="preserve">tarte </w:t>
            </w:r>
            <w:proofErr w:type="spellStart"/>
            <w:r w:rsidRPr="009324C5">
              <w:t>kombinasjontablett</w:t>
            </w:r>
            <w:proofErr w:type="spellEnd"/>
            <w:r w:rsidRPr="009324C5">
              <w:t>/SPC med 2-3 medikamenter for å bedre etterlevelse). For øvrig fremstår de nye retningslinjene fra ESC</w:t>
            </w:r>
            <w:r>
              <w:t xml:space="preserve">/ESH </w:t>
            </w:r>
            <w:r w:rsidR="00466187" w:rsidRPr="009324C5">
              <w:t xml:space="preserve">ikke </w:t>
            </w:r>
            <w:r>
              <w:t>som</w:t>
            </w:r>
            <w:r w:rsidRPr="009324C5">
              <w:t xml:space="preserve"> kontroversielle</w:t>
            </w:r>
            <w:r w:rsidR="00466187">
              <w:t>,</w:t>
            </w:r>
            <w:r w:rsidRPr="009324C5">
              <w:t xml:space="preserve"> og kan anbefales for norske forhold. </w:t>
            </w:r>
          </w:p>
        </w:tc>
      </w:tr>
      <w:tr w:rsidR="00F72449">
        <w:tc>
          <w:tcPr>
            <w:tcW w:w="9212" w:type="dxa"/>
          </w:tcPr>
          <w:p w:rsidR="00F72449" w:rsidRDefault="00F72449" w:rsidP="00F72449"/>
          <w:p w:rsidR="00F72449" w:rsidRDefault="00F72449" w:rsidP="00F72449">
            <w:pPr>
              <w:rPr>
                <w:b/>
                <w:bCs/>
              </w:rPr>
            </w:pPr>
            <w:r>
              <w:rPr>
                <w:b/>
                <w:bCs/>
              </w:rPr>
              <w:t xml:space="preserve">Kvalitetsutvalgets vurdering (møte </w:t>
            </w:r>
            <w:r w:rsidR="00A46A36">
              <w:rPr>
                <w:b/>
                <w:bCs/>
              </w:rPr>
              <w:t>26.02.20</w:t>
            </w:r>
            <w:r>
              <w:rPr>
                <w:b/>
                <w:bCs/>
              </w:rPr>
              <w:t>19):</w:t>
            </w:r>
          </w:p>
          <w:p w:rsidR="00F72449" w:rsidRDefault="00F72449" w:rsidP="00F72449">
            <w:r>
              <w:t>Hovedpunktene i de nye hypertensjons-guidelines er godt oppsummert av fagekspertene ovenfor. Kvalitetsutvalget vil for egen del påpeke følgende:</w:t>
            </w:r>
          </w:p>
          <w:p w:rsidR="003F2F5A" w:rsidRDefault="003F2F5A" w:rsidP="00A343FE">
            <w:pPr>
              <w:numPr>
                <w:ilvl w:val="0"/>
                <w:numId w:val="6"/>
              </w:numPr>
            </w:pPr>
            <w:r w:rsidRPr="009324C5">
              <w:t>ESC/ESH valgte å beholde grensen for hypertensjon på samme nivå som tidligere</w:t>
            </w:r>
            <w:r w:rsidR="00A46A36">
              <w:t xml:space="preserve">, </w:t>
            </w:r>
            <w:r w:rsidRPr="009324C5">
              <w:t xml:space="preserve">dvs. hypertensjon er </w:t>
            </w:r>
            <w:r>
              <w:t xml:space="preserve">fortsatt </w:t>
            </w:r>
            <w:r w:rsidRPr="009324C5">
              <w:t>definert som et vedvarende forhøyet kontorblodtrykk ≥ 140/90 mm Hg</w:t>
            </w:r>
            <w:r w:rsidR="00B11500">
              <w:t>,</w:t>
            </w:r>
            <w:r w:rsidRPr="009324C5">
              <w:t xml:space="preserve"> som er ekvivalent til 24-timers ambulatorisk blodtrykk ≥ 130/80 mm Hg eller hjemme-</w:t>
            </w:r>
            <w:r w:rsidRPr="00500E7A">
              <w:t>blodtrykk ≥ 135/85 mm Hg</w:t>
            </w:r>
            <w:r w:rsidRPr="002B0074">
              <w:t>.</w:t>
            </w:r>
          </w:p>
          <w:p w:rsidR="0009216B" w:rsidRDefault="0009216B" w:rsidP="00A343FE">
            <w:pPr>
              <w:numPr>
                <w:ilvl w:val="0"/>
                <w:numId w:val="6"/>
              </w:numPr>
            </w:pPr>
            <w:r>
              <w:t>Det anbefales s</w:t>
            </w:r>
            <w:r w:rsidRPr="009324C5">
              <w:t xml:space="preserve">creening og oppfølging </w:t>
            </w:r>
            <w:r w:rsidR="00B11500">
              <w:t>av</w:t>
            </w:r>
            <w:r>
              <w:t xml:space="preserve"> alle voksne</w:t>
            </w:r>
            <w:r w:rsidR="00B11500">
              <w:t>, med</w:t>
            </w:r>
            <w:r w:rsidRPr="009324C5">
              <w:t xml:space="preserve"> kontroll av blodtrykk minst hvert 5. år</w:t>
            </w:r>
            <w:r w:rsidR="00A46A36">
              <w:t>.</w:t>
            </w:r>
          </w:p>
          <w:p w:rsidR="00FE6CE5" w:rsidRDefault="00FE6CE5" w:rsidP="00A343FE">
            <w:pPr>
              <w:numPr>
                <w:ilvl w:val="0"/>
                <w:numId w:val="6"/>
              </w:numPr>
            </w:pPr>
            <w:r w:rsidRPr="009324C5">
              <w:t>ACE-</w:t>
            </w:r>
            <w:proofErr w:type="spellStart"/>
            <w:r w:rsidRPr="009324C5">
              <w:t>hemmer</w:t>
            </w:r>
            <w:r w:rsidR="00B11500">
              <w:t>e</w:t>
            </w:r>
            <w:proofErr w:type="spellEnd"/>
            <w:r w:rsidRPr="009324C5">
              <w:t xml:space="preserve">, </w:t>
            </w:r>
            <w:proofErr w:type="spellStart"/>
            <w:r w:rsidRPr="009324C5">
              <w:t>angiotensin</w:t>
            </w:r>
            <w:proofErr w:type="spellEnd"/>
            <w:r w:rsidRPr="009324C5">
              <w:t xml:space="preserve">-reseptor </w:t>
            </w:r>
            <w:proofErr w:type="gramStart"/>
            <w:r w:rsidRPr="009324C5">
              <w:t>blokker</w:t>
            </w:r>
            <w:r w:rsidR="00B11500">
              <w:t>e</w:t>
            </w:r>
            <w:proofErr w:type="gramEnd"/>
            <w:r w:rsidRPr="009324C5">
              <w:t>, betablokker</w:t>
            </w:r>
            <w:r w:rsidR="00B11500">
              <w:t>e</w:t>
            </w:r>
            <w:r w:rsidRPr="009324C5">
              <w:t>, diuretika</w:t>
            </w:r>
            <w:r w:rsidR="00B11500">
              <w:t xml:space="preserve"> og</w:t>
            </w:r>
            <w:r w:rsidRPr="009324C5">
              <w:t xml:space="preserve"> </w:t>
            </w:r>
            <w:proofErr w:type="spellStart"/>
            <w:r w:rsidRPr="009324C5">
              <w:t>kalsiumblokker</w:t>
            </w:r>
            <w:r w:rsidR="00B11500">
              <w:t>e</w:t>
            </w:r>
            <w:proofErr w:type="spellEnd"/>
            <w:r w:rsidRPr="009324C5">
              <w:t xml:space="preserve"> har alle vist seg effektive til å redusere blodtrykk og kardiovaskulære hendelser. Man anbefaler nå generelt å starte</w:t>
            </w:r>
            <w:r w:rsidR="00C90F2D">
              <w:t xml:space="preserve"> behandling med to medikamenter</w:t>
            </w:r>
            <w:r w:rsidR="00A46A36">
              <w:t xml:space="preserve"> eller helst kombinasjonspreparat.</w:t>
            </w:r>
          </w:p>
          <w:p w:rsidR="00FE6CE5" w:rsidRPr="00A343FE" w:rsidRDefault="00C90F2D" w:rsidP="00A343FE">
            <w:pPr>
              <w:numPr>
                <w:ilvl w:val="0"/>
                <w:numId w:val="6"/>
              </w:numPr>
            </w:pPr>
            <w:proofErr w:type="spellStart"/>
            <w:r w:rsidRPr="009324C5">
              <w:rPr>
                <w:color w:val="333333"/>
              </w:rPr>
              <w:t>Livsstilsintervensjon</w:t>
            </w:r>
            <w:proofErr w:type="spellEnd"/>
            <w:r w:rsidRPr="009324C5">
              <w:rPr>
                <w:color w:val="333333"/>
              </w:rPr>
              <w:t xml:space="preserve"> og medikamentell behandling anbefales hos pasienter i aldersgruppen 65-80 år med systolisk blodtrykk </w:t>
            </w:r>
            <w:r>
              <w:rPr>
                <w:color w:val="333333"/>
              </w:rPr>
              <w:t>&gt;</w:t>
            </w:r>
            <w:r w:rsidRPr="009324C5">
              <w:rPr>
                <w:color w:val="333333"/>
              </w:rPr>
              <w:t>140</w:t>
            </w:r>
            <w:r>
              <w:rPr>
                <w:color w:val="333333"/>
              </w:rPr>
              <w:t xml:space="preserve"> </w:t>
            </w:r>
            <w:r w:rsidRPr="009324C5">
              <w:rPr>
                <w:color w:val="333333"/>
              </w:rPr>
              <w:t>mm</w:t>
            </w:r>
            <w:r w:rsidR="00A46A36">
              <w:rPr>
                <w:color w:val="333333"/>
              </w:rPr>
              <w:t xml:space="preserve"> </w:t>
            </w:r>
            <w:r w:rsidRPr="009324C5">
              <w:rPr>
                <w:color w:val="333333"/>
              </w:rPr>
              <w:t>Hg (I</w:t>
            </w:r>
            <w:r w:rsidR="00A46A36">
              <w:rPr>
                <w:color w:val="333333"/>
              </w:rPr>
              <w:t>,</w:t>
            </w:r>
            <w:r w:rsidR="00B11500">
              <w:rPr>
                <w:color w:val="333333"/>
              </w:rPr>
              <w:t xml:space="preserve"> </w:t>
            </w:r>
            <w:r w:rsidRPr="009324C5">
              <w:rPr>
                <w:color w:val="333333"/>
              </w:rPr>
              <w:t>A).  Hos eldre over 80 år anbefales medikamentell behandling ved systolisk blodtrykk over 160 mm</w:t>
            </w:r>
            <w:r w:rsidR="00A46A36">
              <w:rPr>
                <w:color w:val="333333"/>
              </w:rPr>
              <w:t xml:space="preserve"> </w:t>
            </w:r>
            <w:r w:rsidRPr="009324C5">
              <w:rPr>
                <w:color w:val="333333"/>
              </w:rPr>
              <w:t>Hg (I</w:t>
            </w:r>
            <w:r w:rsidR="00A46A36">
              <w:rPr>
                <w:color w:val="333333"/>
              </w:rPr>
              <w:t>,</w:t>
            </w:r>
            <w:r w:rsidR="00B11500">
              <w:rPr>
                <w:color w:val="333333"/>
              </w:rPr>
              <w:t xml:space="preserve"> </w:t>
            </w:r>
            <w:r w:rsidRPr="009324C5">
              <w:rPr>
                <w:color w:val="333333"/>
              </w:rPr>
              <w:t>A).</w:t>
            </w:r>
          </w:p>
          <w:p w:rsidR="00C90F2D" w:rsidRDefault="00B11500" w:rsidP="00A343FE">
            <w:pPr>
              <w:numPr>
                <w:ilvl w:val="0"/>
                <w:numId w:val="6"/>
              </w:numPr>
            </w:pPr>
            <w:r>
              <w:t xml:space="preserve">Kvalitetsutvalget mener at de norske </w:t>
            </w:r>
            <w:r w:rsidRPr="00B11500">
              <w:t xml:space="preserve">nasjonale faglige retningslinjer for forebygging av hjerte- og karsykdom </w:t>
            </w:r>
            <w:r>
              <w:t xml:space="preserve">godt kan tilpasses </w:t>
            </w:r>
            <w:r w:rsidR="00C90F2D" w:rsidRPr="009324C5">
              <w:t xml:space="preserve">de nyeste europeiske retningslinjer </w:t>
            </w:r>
            <w:r>
              <w:t xml:space="preserve">når det gjelder hypertensjon og </w:t>
            </w:r>
            <w:r w:rsidR="00C90F2D">
              <w:t>intervensjonsgrense</w:t>
            </w:r>
            <w:r>
              <w:t>r</w:t>
            </w:r>
            <w:r w:rsidR="00C90F2D">
              <w:t>.</w:t>
            </w:r>
          </w:p>
          <w:p w:rsidR="0009216B" w:rsidRDefault="0009216B" w:rsidP="00F72449"/>
          <w:p w:rsidR="00F72449" w:rsidRDefault="00F72449" w:rsidP="00F72449">
            <w:r w:rsidRPr="008071F8">
              <w:t xml:space="preserve">Med disse </w:t>
            </w:r>
            <w:r>
              <w:t>kommentarer</w:t>
            </w:r>
            <w:r w:rsidRPr="008071F8">
              <w:t xml:space="preserve"> anbefaler vi at NCS gir sin tilslutning til de oppdaterte retningslinjene</w:t>
            </w:r>
            <w:r w:rsidR="00A46A36">
              <w:t>.</w:t>
            </w:r>
          </w:p>
        </w:tc>
      </w:tr>
      <w:tr w:rsidR="00F72449">
        <w:tc>
          <w:tcPr>
            <w:tcW w:w="9212" w:type="dxa"/>
          </w:tcPr>
          <w:p w:rsidR="00F72449" w:rsidRDefault="00F72449" w:rsidP="00F72449"/>
          <w:p w:rsidR="00F72449" w:rsidRDefault="00F72449" w:rsidP="00F72449">
            <w:r>
              <w:t>Kvalitetsutvalget presiserer:</w:t>
            </w:r>
          </w:p>
          <w:p w:rsidR="00F72449" w:rsidRDefault="00F72449" w:rsidP="00F72449">
            <w:pPr>
              <w:pStyle w:val="Overskrift1"/>
            </w:pPr>
            <w:r>
              <w:t>Retningslinjer er råd, ikke regler</w:t>
            </w:r>
          </w:p>
          <w:p w:rsidR="00F72449" w:rsidRDefault="00F72449" w:rsidP="00F72449"/>
          <w:p w:rsidR="00F72449" w:rsidRDefault="00F72449" w:rsidP="00F72449">
            <w:r>
              <w:t>Disse retningslinjer er ment som en støtte for legers kliniske beslutninger angående utredning og behandling. De beskriver flere mulige fremgangsmåter, som vil være passende for de fleste pasienter under de fleste omstendigheter. Bedømmelse og behandling av den enkelte pasient må gjøres av legen og pasienten i lys av den aktuelle pasients spesielle situasjon. Det vil dermed finnes situasjoner der det er akseptabelt å fravike retningslinjene.</w:t>
            </w:r>
          </w:p>
        </w:tc>
      </w:tr>
      <w:tr w:rsidR="00F72449">
        <w:tc>
          <w:tcPr>
            <w:tcW w:w="9212" w:type="dxa"/>
          </w:tcPr>
          <w:p w:rsidR="00F72449" w:rsidRDefault="00F72449" w:rsidP="00F72449"/>
          <w:p w:rsidR="00F72449" w:rsidRDefault="00F72449" w:rsidP="009D3901">
            <w:r>
              <w:t>NCS har i styremøte</w:t>
            </w:r>
            <w:r w:rsidR="009D3901">
              <w:t xml:space="preserve"> 09.04.2019</w:t>
            </w:r>
            <w:bookmarkStart w:id="0" w:name="_GoBack"/>
            <w:bookmarkEnd w:id="0"/>
            <w:r>
              <w:t xml:space="preserve"> gitt tilslutning til disse retningslinjer,</w:t>
            </w:r>
            <w:r>
              <w:br/>
              <w:t>med ovennevnte reservasjon.</w:t>
            </w:r>
          </w:p>
        </w:tc>
      </w:tr>
    </w:tbl>
    <w:p w:rsidR="00786B55" w:rsidRDefault="00786B55"/>
    <w:p w:rsidR="00786B55" w:rsidRDefault="00EA701A">
      <w:pPr>
        <w:jc w:val="center"/>
      </w:pPr>
      <w:r>
        <w:t>Kvalitetsutvalget i NCS</w:t>
      </w:r>
    </w:p>
    <w:p w:rsidR="00786B55" w:rsidRDefault="00786B55"/>
    <w:p w:rsidR="00786B55" w:rsidRDefault="00786B55"/>
    <w:p w:rsidR="00786B55" w:rsidRDefault="00786B55"/>
    <w:p w:rsidR="00786B55" w:rsidRDefault="00786B55"/>
    <w:tbl>
      <w:tblPr>
        <w:tblW w:w="0" w:type="auto"/>
        <w:tblCellMar>
          <w:left w:w="70" w:type="dxa"/>
          <w:right w:w="70" w:type="dxa"/>
        </w:tblCellMar>
        <w:tblLook w:val="0000" w:firstRow="0" w:lastRow="0" w:firstColumn="0" w:lastColumn="0" w:noHBand="0" w:noVBand="0"/>
      </w:tblPr>
      <w:tblGrid>
        <w:gridCol w:w="3070"/>
        <w:gridCol w:w="3071"/>
        <w:gridCol w:w="3071"/>
      </w:tblGrid>
      <w:tr w:rsidR="00786B55">
        <w:tc>
          <w:tcPr>
            <w:tcW w:w="3070" w:type="dxa"/>
          </w:tcPr>
          <w:p w:rsidR="00786B55" w:rsidRDefault="00547B63">
            <w:pPr>
              <w:jc w:val="center"/>
            </w:pPr>
            <w:r>
              <w:t>Ole-Gunnar Anfinsen</w:t>
            </w:r>
          </w:p>
          <w:p w:rsidR="00786B55" w:rsidRDefault="00786B55">
            <w:pPr>
              <w:jc w:val="center"/>
            </w:pPr>
            <w:r>
              <w:t>leder</w:t>
            </w:r>
          </w:p>
          <w:p w:rsidR="00E9571F" w:rsidRDefault="00E9571F">
            <w:pPr>
              <w:jc w:val="center"/>
            </w:pPr>
            <w:r>
              <w:t>(sign</w:t>
            </w:r>
            <w:r w:rsidR="00723E45">
              <w:t>.</w:t>
            </w:r>
            <w:r>
              <w:t>)</w:t>
            </w:r>
          </w:p>
          <w:p w:rsidR="00786B55" w:rsidRDefault="00786B55" w:rsidP="000A049B">
            <w:pPr>
              <w:jc w:val="center"/>
            </w:pPr>
          </w:p>
        </w:tc>
        <w:tc>
          <w:tcPr>
            <w:tcW w:w="3071" w:type="dxa"/>
          </w:tcPr>
          <w:p w:rsidR="00786B55" w:rsidRDefault="00D52DC6">
            <w:pPr>
              <w:jc w:val="center"/>
            </w:pPr>
            <w:r>
              <w:t>Assami Rö</w:t>
            </w:r>
            <w:r w:rsidR="002C05D8">
              <w:t>sner</w:t>
            </w:r>
          </w:p>
          <w:p w:rsidR="00786B55" w:rsidRDefault="00786B55">
            <w:pPr>
              <w:jc w:val="center"/>
            </w:pPr>
          </w:p>
          <w:p w:rsidR="00786B55" w:rsidRDefault="00E9571F" w:rsidP="000A049B">
            <w:pPr>
              <w:jc w:val="center"/>
            </w:pPr>
            <w:r>
              <w:t>(sign</w:t>
            </w:r>
            <w:r w:rsidR="00723E45">
              <w:t>.</w:t>
            </w:r>
            <w:r>
              <w:t>)</w:t>
            </w:r>
          </w:p>
        </w:tc>
        <w:tc>
          <w:tcPr>
            <w:tcW w:w="3071" w:type="dxa"/>
          </w:tcPr>
          <w:p w:rsidR="00786B55" w:rsidRDefault="00547B63">
            <w:pPr>
              <w:jc w:val="center"/>
            </w:pPr>
            <w:r>
              <w:t>Vernon Bonarjee</w:t>
            </w:r>
          </w:p>
          <w:p w:rsidR="00786B55" w:rsidRDefault="00786B55">
            <w:pPr>
              <w:jc w:val="center"/>
            </w:pPr>
          </w:p>
          <w:p w:rsidR="00E9571F" w:rsidRDefault="00E9571F">
            <w:pPr>
              <w:jc w:val="center"/>
            </w:pPr>
            <w:r>
              <w:t>(sign</w:t>
            </w:r>
            <w:r w:rsidR="00723E45">
              <w:t>.</w:t>
            </w:r>
            <w:r>
              <w:t>)</w:t>
            </w:r>
          </w:p>
          <w:p w:rsidR="00786B55" w:rsidRDefault="00786B55" w:rsidP="000A049B">
            <w:pPr>
              <w:jc w:val="center"/>
            </w:pPr>
          </w:p>
        </w:tc>
      </w:tr>
    </w:tbl>
    <w:p w:rsidR="00786B55" w:rsidRDefault="00786B55"/>
    <w:sectPr w:rsidR="0078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0C5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1B1043"/>
    <w:multiLevelType w:val="hybridMultilevel"/>
    <w:tmpl w:val="2CBA2E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21D814E1"/>
    <w:multiLevelType w:val="hybridMultilevel"/>
    <w:tmpl w:val="4704B2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5EE45F3"/>
    <w:multiLevelType w:val="hybridMultilevel"/>
    <w:tmpl w:val="15D03EB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3BA9757F"/>
    <w:multiLevelType w:val="hybridMultilevel"/>
    <w:tmpl w:val="965263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B5E24BC"/>
    <w:multiLevelType w:val="hybridMultilevel"/>
    <w:tmpl w:val="15000D38"/>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C8"/>
    <w:rsid w:val="00015EEF"/>
    <w:rsid w:val="000219D6"/>
    <w:rsid w:val="000229BA"/>
    <w:rsid w:val="00024CA6"/>
    <w:rsid w:val="00030258"/>
    <w:rsid w:val="0003077C"/>
    <w:rsid w:val="00032664"/>
    <w:rsid w:val="000361C2"/>
    <w:rsid w:val="00070DD1"/>
    <w:rsid w:val="000825D7"/>
    <w:rsid w:val="0009046B"/>
    <w:rsid w:val="0009216B"/>
    <w:rsid w:val="000A049B"/>
    <w:rsid w:val="000A1006"/>
    <w:rsid w:val="000B4BAC"/>
    <w:rsid w:val="000B72F8"/>
    <w:rsid w:val="000C0A13"/>
    <w:rsid w:val="000C5C52"/>
    <w:rsid w:val="000C66B2"/>
    <w:rsid w:val="000E6DEC"/>
    <w:rsid w:val="00112CC0"/>
    <w:rsid w:val="00113A4E"/>
    <w:rsid w:val="0011656E"/>
    <w:rsid w:val="001166F7"/>
    <w:rsid w:val="00121F01"/>
    <w:rsid w:val="001331E8"/>
    <w:rsid w:val="001504B8"/>
    <w:rsid w:val="00161F61"/>
    <w:rsid w:val="0017154C"/>
    <w:rsid w:val="00174CDE"/>
    <w:rsid w:val="00180CC0"/>
    <w:rsid w:val="00181D66"/>
    <w:rsid w:val="001928CD"/>
    <w:rsid w:val="001B5B6A"/>
    <w:rsid w:val="001C5D07"/>
    <w:rsid w:val="001C74DA"/>
    <w:rsid w:val="001D16DE"/>
    <w:rsid w:val="001D753E"/>
    <w:rsid w:val="001E1571"/>
    <w:rsid w:val="001E68E1"/>
    <w:rsid w:val="001E6A21"/>
    <w:rsid w:val="001F764C"/>
    <w:rsid w:val="002072D6"/>
    <w:rsid w:val="00210803"/>
    <w:rsid w:val="0022312D"/>
    <w:rsid w:val="00224AF0"/>
    <w:rsid w:val="00225534"/>
    <w:rsid w:val="0024205A"/>
    <w:rsid w:val="00244149"/>
    <w:rsid w:val="002565E0"/>
    <w:rsid w:val="00265415"/>
    <w:rsid w:val="002733C8"/>
    <w:rsid w:val="002855B6"/>
    <w:rsid w:val="00291449"/>
    <w:rsid w:val="002920E0"/>
    <w:rsid w:val="002B0A5A"/>
    <w:rsid w:val="002B2927"/>
    <w:rsid w:val="002C05D8"/>
    <w:rsid w:val="002C19EF"/>
    <w:rsid w:val="002C1DD3"/>
    <w:rsid w:val="002C46A7"/>
    <w:rsid w:val="002C5E4B"/>
    <w:rsid w:val="002E0824"/>
    <w:rsid w:val="002E0A62"/>
    <w:rsid w:val="00302BD4"/>
    <w:rsid w:val="00312008"/>
    <w:rsid w:val="003120E7"/>
    <w:rsid w:val="003164CB"/>
    <w:rsid w:val="00344232"/>
    <w:rsid w:val="00344E00"/>
    <w:rsid w:val="003472E7"/>
    <w:rsid w:val="003771DE"/>
    <w:rsid w:val="003876A3"/>
    <w:rsid w:val="003904A6"/>
    <w:rsid w:val="00397EE9"/>
    <w:rsid w:val="003A3981"/>
    <w:rsid w:val="003D2E92"/>
    <w:rsid w:val="003F2083"/>
    <w:rsid w:val="003F2F5A"/>
    <w:rsid w:val="003F604B"/>
    <w:rsid w:val="0040294F"/>
    <w:rsid w:val="004055B5"/>
    <w:rsid w:val="00412853"/>
    <w:rsid w:val="00423D1A"/>
    <w:rsid w:val="00425A71"/>
    <w:rsid w:val="004279D8"/>
    <w:rsid w:val="00436FE0"/>
    <w:rsid w:val="004430DC"/>
    <w:rsid w:val="00444439"/>
    <w:rsid w:val="00457A39"/>
    <w:rsid w:val="0046034E"/>
    <w:rsid w:val="0046404B"/>
    <w:rsid w:val="00466187"/>
    <w:rsid w:val="00467F0F"/>
    <w:rsid w:val="00491160"/>
    <w:rsid w:val="004A7AC8"/>
    <w:rsid w:val="004C01A9"/>
    <w:rsid w:val="004C025C"/>
    <w:rsid w:val="004C5FAF"/>
    <w:rsid w:val="004C6D07"/>
    <w:rsid w:val="004D1A8C"/>
    <w:rsid w:val="004D7016"/>
    <w:rsid w:val="004E076B"/>
    <w:rsid w:val="004F7449"/>
    <w:rsid w:val="0050317D"/>
    <w:rsid w:val="005037A1"/>
    <w:rsid w:val="00504D92"/>
    <w:rsid w:val="00517DB5"/>
    <w:rsid w:val="005223EE"/>
    <w:rsid w:val="00526058"/>
    <w:rsid w:val="00532B61"/>
    <w:rsid w:val="00547B63"/>
    <w:rsid w:val="00551C43"/>
    <w:rsid w:val="00554974"/>
    <w:rsid w:val="00566A81"/>
    <w:rsid w:val="00570605"/>
    <w:rsid w:val="00571E2B"/>
    <w:rsid w:val="00574BC4"/>
    <w:rsid w:val="005814E0"/>
    <w:rsid w:val="00582DF5"/>
    <w:rsid w:val="005A348A"/>
    <w:rsid w:val="005B2533"/>
    <w:rsid w:val="005C39D2"/>
    <w:rsid w:val="005C7549"/>
    <w:rsid w:val="006260B2"/>
    <w:rsid w:val="0062782A"/>
    <w:rsid w:val="006318CD"/>
    <w:rsid w:val="00633830"/>
    <w:rsid w:val="00650CFE"/>
    <w:rsid w:val="006554F0"/>
    <w:rsid w:val="006565F8"/>
    <w:rsid w:val="00677221"/>
    <w:rsid w:val="006A6ECD"/>
    <w:rsid w:val="006B3C31"/>
    <w:rsid w:val="006C30C1"/>
    <w:rsid w:val="006C34B3"/>
    <w:rsid w:val="006C3801"/>
    <w:rsid w:val="006E029F"/>
    <w:rsid w:val="006E1C20"/>
    <w:rsid w:val="006F34B3"/>
    <w:rsid w:val="007055C9"/>
    <w:rsid w:val="00712CE8"/>
    <w:rsid w:val="00723E45"/>
    <w:rsid w:val="007309ED"/>
    <w:rsid w:val="007331DF"/>
    <w:rsid w:val="007364E4"/>
    <w:rsid w:val="00747D1A"/>
    <w:rsid w:val="0075753D"/>
    <w:rsid w:val="00773941"/>
    <w:rsid w:val="00786B55"/>
    <w:rsid w:val="0079112B"/>
    <w:rsid w:val="0079537A"/>
    <w:rsid w:val="007A7A11"/>
    <w:rsid w:val="007B34CE"/>
    <w:rsid w:val="007D1D6C"/>
    <w:rsid w:val="007D58FA"/>
    <w:rsid w:val="007E4570"/>
    <w:rsid w:val="007F207C"/>
    <w:rsid w:val="007F3F8A"/>
    <w:rsid w:val="00802BDE"/>
    <w:rsid w:val="008071F8"/>
    <w:rsid w:val="0081023F"/>
    <w:rsid w:val="008104CE"/>
    <w:rsid w:val="008230DF"/>
    <w:rsid w:val="00830311"/>
    <w:rsid w:val="008352CF"/>
    <w:rsid w:val="00850EFD"/>
    <w:rsid w:val="00855B79"/>
    <w:rsid w:val="0085600B"/>
    <w:rsid w:val="00862526"/>
    <w:rsid w:val="00873669"/>
    <w:rsid w:val="008763C2"/>
    <w:rsid w:val="0088220E"/>
    <w:rsid w:val="00892F6E"/>
    <w:rsid w:val="008C7652"/>
    <w:rsid w:val="008D3049"/>
    <w:rsid w:val="008E4C6C"/>
    <w:rsid w:val="008F0EE2"/>
    <w:rsid w:val="008F5229"/>
    <w:rsid w:val="00902299"/>
    <w:rsid w:val="0090521C"/>
    <w:rsid w:val="009114D9"/>
    <w:rsid w:val="0091509D"/>
    <w:rsid w:val="00934DDE"/>
    <w:rsid w:val="00940DDE"/>
    <w:rsid w:val="009567B6"/>
    <w:rsid w:val="009605B8"/>
    <w:rsid w:val="0098228A"/>
    <w:rsid w:val="009828D5"/>
    <w:rsid w:val="00982F55"/>
    <w:rsid w:val="00987450"/>
    <w:rsid w:val="009A02EB"/>
    <w:rsid w:val="009A3206"/>
    <w:rsid w:val="009B3AC6"/>
    <w:rsid w:val="009C01FB"/>
    <w:rsid w:val="009D3901"/>
    <w:rsid w:val="009D5669"/>
    <w:rsid w:val="009D7987"/>
    <w:rsid w:val="009D79C1"/>
    <w:rsid w:val="009E6362"/>
    <w:rsid w:val="00A0280C"/>
    <w:rsid w:val="00A32144"/>
    <w:rsid w:val="00A32690"/>
    <w:rsid w:val="00A343FE"/>
    <w:rsid w:val="00A3669F"/>
    <w:rsid w:val="00A46A36"/>
    <w:rsid w:val="00A57D07"/>
    <w:rsid w:val="00A60070"/>
    <w:rsid w:val="00A64A21"/>
    <w:rsid w:val="00A6517C"/>
    <w:rsid w:val="00A73E32"/>
    <w:rsid w:val="00A83738"/>
    <w:rsid w:val="00A83EB7"/>
    <w:rsid w:val="00A91F00"/>
    <w:rsid w:val="00AA1808"/>
    <w:rsid w:val="00AA5781"/>
    <w:rsid w:val="00AD3400"/>
    <w:rsid w:val="00AD5620"/>
    <w:rsid w:val="00AD7FB9"/>
    <w:rsid w:val="00AE021D"/>
    <w:rsid w:val="00AE64F5"/>
    <w:rsid w:val="00AF3A79"/>
    <w:rsid w:val="00B00268"/>
    <w:rsid w:val="00B05915"/>
    <w:rsid w:val="00B11500"/>
    <w:rsid w:val="00B402E4"/>
    <w:rsid w:val="00B4738C"/>
    <w:rsid w:val="00B4745C"/>
    <w:rsid w:val="00B5062F"/>
    <w:rsid w:val="00B52E95"/>
    <w:rsid w:val="00B7029A"/>
    <w:rsid w:val="00B7665F"/>
    <w:rsid w:val="00B84E0B"/>
    <w:rsid w:val="00B97648"/>
    <w:rsid w:val="00BA18A5"/>
    <w:rsid w:val="00BA3651"/>
    <w:rsid w:val="00BA52B8"/>
    <w:rsid w:val="00BB0D03"/>
    <w:rsid w:val="00BB475E"/>
    <w:rsid w:val="00BC1282"/>
    <w:rsid w:val="00BD330F"/>
    <w:rsid w:val="00BE67B3"/>
    <w:rsid w:val="00BF438A"/>
    <w:rsid w:val="00C118BE"/>
    <w:rsid w:val="00C175A6"/>
    <w:rsid w:val="00C43BD7"/>
    <w:rsid w:val="00C70ED0"/>
    <w:rsid w:val="00C751ED"/>
    <w:rsid w:val="00C85EF6"/>
    <w:rsid w:val="00C90F2D"/>
    <w:rsid w:val="00C947EF"/>
    <w:rsid w:val="00CA711E"/>
    <w:rsid w:val="00CA7333"/>
    <w:rsid w:val="00CC2990"/>
    <w:rsid w:val="00CD7129"/>
    <w:rsid w:val="00CE2BB8"/>
    <w:rsid w:val="00CE48A5"/>
    <w:rsid w:val="00CE630E"/>
    <w:rsid w:val="00CF0E57"/>
    <w:rsid w:val="00D026B8"/>
    <w:rsid w:val="00D14EAA"/>
    <w:rsid w:val="00D1558A"/>
    <w:rsid w:val="00D23FFA"/>
    <w:rsid w:val="00D26AE0"/>
    <w:rsid w:val="00D3157A"/>
    <w:rsid w:val="00D323A5"/>
    <w:rsid w:val="00D52DC6"/>
    <w:rsid w:val="00D56214"/>
    <w:rsid w:val="00D6486B"/>
    <w:rsid w:val="00D74C84"/>
    <w:rsid w:val="00D87915"/>
    <w:rsid w:val="00D87F02"/>
    <w:rsid w:val="00D90752"/>
    <w:rsid w:val="00DD00EF"/>
    <w:rsid w:val="00DE3345"/>
    <w:rsid w:val="00DE36FA"/>
    <w:rsid w:val="00DE3DE2"/>
    <w:rsid w:val="00DE59AA"/>
    <w:rsid w:val="00DF3ED6"/>
    <w:rsid w:val="00E0419C"/>
    <w:rsid w:val="00E076DB"/>
    <w:rsid w:val="00E20588"/>
    <w:rsid w:val="00E21095"/>
    <w:rsid w:val="00E25861"/>
    <w:rsid w:val="00E41C5A"/>
    <w:rsid w:val="00E435A9"/>
    <w:rsid w:val="00E43A32"/>
    <w:rsid w:val="00E46D18"/>
    <w:rsid w:val="00E55F1B"/>
    <w:rsid w:val="00E713E8"/>
    <w:rsid w:val="00E9571F"/>
    <w:rsid w:val="00E957E6"/>
    <w:rsid w:val="00EA1887"/>
    <w:rsid w:val="00EA701A"/>
    <w:rsid w:val="00EE2EE1"/>
    <w:rsid w:val="00EE32A5"/>
    <w:rsid w:val="00F005A3"/>
    <w:rsid w:val="00F045F4"/>
    <w:rsid w:val="00F11FCC"/>
    <w:rsid w:val="00F27CB3"/>
    <w:rsid w:val="00F31300"/>
    <w:rsid w:val="00F31807"/>
    <w:rsid w:val="00F32D42"/>
    <w:rsid w:val="00F34A35"/>
    <w:rsid w:val="00F37060"/>
    <w:rsid w:val="00F63C57"/>
    <w:rsid w:val="00F659BF"/>
    <w:rsid w:val="00F65F86"/>
    <w:rsid w:val="00F67182"/>
    <w:rsid w:val="00F70096"/>
    <w:rsid w:val="00F72449"/>
    <w:rsid w:val="00F86C20"/>
    <w:rsid w:val="00FA159A"/>
    <w:rsid w:val="00FA5778"/>
    <w:rsid w:val="00FE109B"/>
    <w:rsid w:val="00FE4EA4"/>
    <w:rsid w:val="00FE6CE5"/>
    <w:rsid w:val="00FE7680"/>
    <w:rsid w:val="00FF2E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spacing w:after="240"/>
      <w:ind w:right="720"/>
    </w:pPr>
  </w:style>
  <w:style w:type="paragraph" w:styleId="Brdtekst2">
    <w:name w:val="Body Text 2"/>
    <w:basedOn w:val="Normal"/>
    <w:rPr>
      <w:b/>
      <w:bCs/>
      <w:sz w:val="28"/>
      <w:lang w:val="en-GB"/>
    </w:rPr>
  </w:style>
  <w:style w:type="paragraph" w:styleId="Tittel">
    <w:name w:val="Title"/>
    <w:basedOn w:val="Normal"/>
    <w:qFormat/>
    <w:pPr>
      <w:jc w:val="center"/>
    </w:pPr>
    <w:rPr>
      <w:b/>
      <w:bCs/>
      <w:sz w:val="32"/>
    </w:rPr>
  </w:style>
  <w:style w:type="character" w:styleId="Hyperkobling">
    <w:name w:val="Hyperlink"/>
    <w:rsid w:val="003D2E92"/>
    <w:rPr>
      <w:color w:val="0000FF"/>
      <w:u w:val="single"/>
    </w:rPr>
  </w:style>
  <w:style w:type="paragraph" w:customStyle="1" w:styleId="Lysliste-uthevingsfarge51">
    <w:name w:val="Lys liste - uthevingsfarge 51"/>
    <w:basedOn w:val="Normal"/>
    <w:qFormat/>
    <w:rsid w:val="00423D1A"/>
    <w:pPr>
      <w:ind w:left="720" w:hanging="357"/>
    </w:pPr>
    <w:rPr>
      <w:rFonts w:ascii="Calibri" w:eastAsia="Calibri" w:hAnsi="Calibri" w:cs="Calibri"/>
      <w:sz w:val="22"/>
      <w:szCs w:val="22"/>
      <w:lang w:eastAsia="en-US"/>
    </w:rPr>
  </w:style>
  <w:style w:type="paragraph" w:styleId="Bobletekst">
    <w:name w:val="Balloon Text"/>
    <w:basedOn w:val="Normal"/>
    <w:link w:val="BobletekstTegn"/>
    <w:rsid w:val="008104CE"/>
    <w:rPr>
      <w:rFonts w:ascii="Tahoma" w:hAnsi="Tahoma"/>
      <w:sz w:val="16"/>
      <w:szCs w:val="16"/>
      <w:lang w:val="x-none" w:eastAsia="x-none"/>
    </w:rPr>
  </w:style>
  <w:style w:type="character" w:customStyle="1" w:styleId="BobletekstTegn">
    <w:name w:val="Bobletekst Tegn"/>
    <w:link w:val="Bobletekst"/>
    <w:rsid w:val="008104CE"/>
    <w:rPr>
      <w:rFonts w:ascii="Tahoma" w:hAnsi="Tahoma" w:cs="Tahoma"/>
      <w:sz w:val="16"/>
      <w:szCs w:val="16"/>
    </w:rPr>
  </w:style>
  <w:style w:type="character" w:styleId="Fulgthyperkobling">
    <w:name w:val="FollowedHyperlink"/>
    <w:rsid w:val="004D7016"/>
    <w:rPr>
      <w:color w:val="800080"/>
      <w:u w:val="single"/>
    </w:rPr>
  </w:style>
  <w:style w:type="character" w:styleId="Merknadsreferanse">
    <w:name w:val="annotation reference"/>
    <w:rsid w:val="00E713E8"/>
    <w:rPr>
      <w:sz w:val="18"/>
      <w:szCs w:val="18"/>
    </w:rPr>
  </w:style>
  <w:style w:type="paragraph" w:styleId="Merknadstekst">
    <w:name w:val="annotation text"/>
    <w:basedOn w:val="Normal"/>
    <w:link w:val="MerknadstekstTegn"/>
    <w:rsid w:val="00E713E8"/>
    <w:rPr>
      <w:lang w:val="x-none"/>
    </w:rPr>
  </w:style>
  <w:style w:type="character" w:customStyle="1" w:styleId="MerknadstekstTegn">
    <w:name w:val="Merknadstekst Tegn"/>
    <w:link w:val="Merknadstekst"/>
    <w:rsid w:val="00E713E8"/>
    <w:rPr>
      <w:sz w:val="24"/>
      <w:szCs w:val="24"/>
      <w:lang w:eastAsia="nb-NO"/>
    </w:rPr>
  </w:style>
  <w:style w:type="paragraph" w:styleId="Kommentaremne">
    <w:name w:val="annotation subject"/>
    <w:basedOn w:val="Merknadstekst"/>
    <w:next w:val="Merknadstekst"/>
    <w:link w:val="KommentaremneTegn"/>
    <w:rsid w:val="00E713E8"/>
    <w:rPr>
      <w:b/>
      <w:bCs/>
    </w:rPr>
  </w:style>
  <w:style w:type="character" w:customStyle="1" w:styleId="KommentaremneTegn">
    <w:name w:val="Kommentaremne Tegn"/>
    <w:link w:val="Kommentaremne"/>
    <w:rsid w:val="00E713E8"/>
    <w:rPr>
      <w:b/>
      <w:bCs/>
      <w:sz w:val="24"/>
      <w:szCs w:val="24"/>
      <w:lang w:eastAsia="nb-NO"/>
    </w:rPr>
  </w:style>
  <w:style w:type="paragraph" w:customStyle="1" w:styleId="Middelsliste1-uthevingsfarge41">
    <w:name w:val="Middels liste 1 - uthevingsfarge 41"/>
    <w:hidden/>
    <w:uiPriority w:val="71"/>
    <w:rsid w:val="00E713E8"/>
    <w:rPr>
      <w:sz w:val="24"/>
      <w:szCs w:val="24"/>
    </w:rPr>
  </w:style>
  <w:style w:type="paragraph" w:customStyle="1" w:styleId="Mrkliste-uthevingsfarge31">
    <w:name w:val="Mørk liste - uthevingsfarge 31"/>
    <w:hidden/>
    <w:uiPriority w:val="71"/>
    <w:rsid w:val="00CD7129"/>
    <w:rPr>
      <w:sz w:val="24"/>
      <w:szCs w:val="24"/>
    </w:rPr>
  </w:style>
  <w:style w:type="paragraph" w:styleId="NormalWeb">
    <w:name w:val="Normal (Web)"/>
    <w:basedOn w:val="Normal"/>
    <w:uiPriority w:val="99"/>
    <w:unhideWhenUsed/>
    <w:rsid w:val="0085600B"/>
    <w:pPr>
      <w:spacing w:before="100" w:beforeAutospacing="1" w:after="100" w:afterAutospacing="1"/>
    </w:pPr>
    <w:rPr>
      <w:rFonts w:ascii="Times" w:hAnsi="Times"/>
      <w:sz w:val="20"/>
      <w:szCs w:val="20"/>
      <w:lang w:eastAsia="en-US"/>
    </w:rPr>
  </w:style>
  <w:style w:type="paragraph" w:customStyle="1" w:styleId="Lyslisteuthevingsfarge31">
    <w:name w:val="Lys liste – uthevingsfarge 31"/>
    <w:hidden/>
    <w:uiPriority w:val="71"/>
    <w:rsid w:val="00D26AE0"/>
    <w:rPr>
      <w:sz w:val="24"/>
      <w:szCs w:val="24"/>
    </w:rPr>
  </w:style>
  <w:style w:type="paragraph" w:customStyle="1" w:styleId="Middelsliste2-uthevingsfarge21">
    <w:name w:val="Middels liste 2 - uthevingsfarge 21"/>
    <w:hidden/>
    <w:uiPriority w:val="71"/>
    <w:rsid w:val="00C947EF"/>
    <w:rPr>
      <w:sz w:val="24"/>
      <w:szCs w:val="24"/>
    </w:rPr>
  </w:style>
  <w:style w:type="character" w:customStyle="1" w:styleId="UnresolvedMention">
    <w:name w:val="Unresolved Mention"/>
    <w:uiPriority w:val="99"/>
    <w:semiHidden/>
    <w:unhideWhenUsed/>
    <w:rsid w:val="00551C43"/>
    <w:rPr>
      <w:color w:val="605E5C"/>
      <w:shd w:val="clear" w:color="auto" w:fill="E1DFDD"/>
    </w:rPr>
  </w:style>
  <w:style w:type="paragraph" w:styleId="Revisjon">
    <w:name w:val="Revision"/>
    <w:hidden/>
    <w:uiPriority w:val="99"/>
    <w:semiHidden/>
    <w:rsid w:val="005B25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spacing w:after="240"/>
      <w:ind w:right="720"/>
    </w:pPr>
  </w:style>
  <w:style w:type="paragraph" w:styleId="Brdtekst2">
    <w:name w:val="Body Text 2"/>
    <w:basedOn w:val="Normal"/>
    <w:rPr>
      <w:b/>
      <w:bCs/>
      <w:sz w:val="28"/>
      <w:lang w:val="en-GB"/>
    </w:rPr>
  </w:style>
  <w:style w:type="paragraph" w:styleId="Tittel">
    <w:name w:val="Title"/>
    <w:basedOn w:val="Normal"/>
    <w:qFormat/>
    <w:pPr>
      <w:jc w:val="center"/>
    </w:pPr>
    <w:rPr>
      <w:b/>
      <w:bCs/>
      <w:sz w:val="32"/>
    </w:rPr>
  </w:style>
  <w:style w:type="character" w:styleId="Hyperkobling">
    <w:name w:val="Hyperlink"/>
    <w:rsid w:val="003D2E92"/>
    <w:rPr>
      <w:color w:val="0000FF"/>
      <w:u w:val="single"/>
    </w:rPr>
  </w:style>
  <w:style w:type="paragraph" w:customStyle="1" w:styleId="Lysliste-uthevingsfarge51">
    <w:name w:val="Lys liste - uthevingsfarge 51"/>
    <w:basedOn w:val="Normal"/>
    <w:qFormat/>
    <w:rsid w:val="00423D1A"/>
    <w:pPr>
      <w:ind w:left="720" w:hanging="357"/>
    </w:pPr>
    <w:rPr>
      <w:rFonts w:ascii="Calibri" w:eastAsia="Calibri" w:hAnsi="Calibri" w:cs="Calibri"/>
      <w:sz w:val="22"/>
      <w:szCs w:val="22"/>
      <w:lang w:eastAsia="en-US"/>
    </w:rPr>
  </w:style>
  <w:style w:type="paragraph" w:styleId="Bobletekst">
    <w:name w:val="Balloon Text"/>
    <w:basedOn w:val="Normal"/>
    <w:link w:val="BobletekstTegn"/>
    <w:rsid w:val="008104CE"/>
    <w:rPr>
      <w:rFonts w:ascii="Tahoma" w:hAnsi="Tahoma"/>
      <w:sz w:val="16"/>
      <w:szCs w:val="16"/>
      <w:lang w:val="x-none" w:eastAsia="x-none"/>
    </w:rPr>
  </w:style>
  <w:style w:type="character" w:customStyle="1" w:styleId="BobletekstTegn">
    <w:name w:val="Bobletekst Tegn"/>
    <w:link w:val="Bobletekst"/>
    <w:rsid w:val="008104CE"/>
    <w:rPr>
      <w:rFonts w:ascii="Tahoma" w:hAnsi="Tahoma" w:cs="Tahoma"/>
      <w:sz w:val="16"/>
      <w:szCs w:val="16"/>
    </w:rPr>
  </w:style>
  <w:style w:type="character" w:styleId="Fulgthyperkobling">
    <w:name w:val="FollowedHyperlink"/>
    <w:rsid w:val="004D7016"/>
    <w:rPr>
      <w:color w:val="800080"/>
      <w:u w:val="single"/>
    </w:rPr>
  </w:style>
  <w:style w:type="character" w:styleId="Merknadsreferanse">
    <w:name w:val="annotation reference"/>
    <w:rsid w:val="00E713E8"/>
    <w:rPr>
      <w:sz w:val="18"/>
      <w:szCs w:val="18"/>
    </w:rPr>
  </w:style>
  <w:style w:type="paragraph" w:styleId="Merknadstekst">
    <w:name w:val="annotation text"/>
    <w:basedOn w:val="Normal"/>
    <w:link w:val="MerknadstekstTegn"/>
    <w:rsid w:val="00E713E8"/>
    <w:rPr>
      <w:lang w:val="x-none"/>
    </w:rPr>
  </w:style>
  <w:style w:type="character" w:customStyle="1" w:styleId="MerknadstekstTegn">
    <w:name w:val="Merknadstekst Tegn"/>
    <w:link w:val="Merknadstekst"/>
    <w:rsid w:val="00E713E8"/>
    <w:rPr>
      <w:sz w:val="24"/>
      <w:szCs w:val="24"/>
      <w:lang w:eastAsia="nb-NO"/>
    </w:rPr>
  </w:style>
  <w:style w:type="paragraph" w:styleId="Kommentaremne">
    <w:name w:val="annotation subject"/>
    <w:basedOn w:val="Merknadstekst"/>
    <w:next w:val="Merknadstekst"/>
    <w:link w:val="KommentaremneTegn"/>
    <w:rsid w:val="00E713E8"/>
    <w:rPr>
      <w:b/>
      <w:bCs/>
    </w:rPr>
  </w:style>
  <w:style w:type="character" w:customStyle="1" w:styleId="KommentaremneTegn">
    <w:name w:val="Kommentaremne Tegn"/>
    <w:link w:val="Kommentaremne"/>
    <w:rsid w:val="00E713E8"/>
    <w:rPr>
      <w:b/>
      <w:bCs/>
      <w:sz w:val="24"/>
      <w:szCs w:val="24"/>
      <w:lang w:eastAsia="nb-NO"/>
    </w:rPr>
  </w:style>
  <w:style w:type="paragraph" w:customStyle="1" w:styleId="Middelsliste1-uthevingsfarge41">
    <w:name w:val="Middels liste 1 - uthevingsfarge 41"/>
    <w:hidden/>
    <w:uiPriority w:val="71"/>
    <w:rsid w:val="00E713E8"/>
    <w:rPr>
      <w:sz w:val="24"/>
      <w:szCs w:val="24"/>
    </w:rPr>
  </w:style>
  <w:style w:type="paragraph" w:customStyle="1" w:styleId="Mrkliste-uthevingsfarge31">
    <w:name w:val="Mørk liste - uthevingsfarge 31"/>
    <w:hidden/>
    <w:uiPriority w:val="71"/>
    <w:rsid w:val="00CD7129"/>
    <w:rPr>
      <w:sz w:val="24"/>
      <w:szCs w:val="24"/>
    </w:rPr>
  </w:style>
  <w:style w:type="paragraph" w:styleId="NormalWeb">
    <w:name w:val="Normal (Web)"/>
    <w:basedOn w:val="Normal"/>
    <w:uiPriority w:val="99"/>
    <w:unhideWhenUsed/>
    <w:rsid w:val="0085600B"/>
    <w:pPr>
      <w:spacing w:before="100" w:beforeAutospacing="1" w:after="100" w:afterAutospacing="1"/>
    </w:pPr>
    <w:rPr>
      <w:rFonts w:ascii="Times" w:hAnsi="Times"/>
      <w:sz w:val="20"/>
      <w:szCs w:val="20"/>
      <w:lang w:eastAsia="en-US"/>
    </w:rPr>
  </w:style>
  <w:style w:type="paragraph" w:customStyle="1" w:styleId="Lyslisteuthevingsfarge31">
    <w:name w:val="Lys liste – uthevingsfarge 31"/>
    <w:hidden/>
    <w:uiPriority w:val="71"/>
    <w:rsid w:val="00D26AE0"/>
    <w:rPr>
      <w:sz w:val="24"/>
      <w:szCs w:val="24"/>
    </w:rPr>
  </w:style>
  <w:style w:type="paragraph" w:customStyle="1" w:styleId="Middelsliste2-uthevingsfarge21">
    <w:name w:val="Middels liste 2 - uthevingsfarge 21"/>
    <w:hidden/>
    <w:uiPriority w:val="71"/>
    <w:rsid w:val="00C947EF"/>
    <w:rPr>
      <w:sz w:val="24"/>
      <w:szCs w:val="24"/>
    </w:rPr>
  </w:style>
  <w:style w:type="character" w:customStyle="1" w:styleId="UnresolvedMention">
    <w:name w:val="Unresolved Mention"/>
    <w:uiPriority w:val="99"/>
    <w:semiHidden/>
    <w:unhideWhenUsed/>
    <w:rsid w:val="00551C43"/>
    <w:rPr>
      <w:color w:val="605E5C"/>
      <w:shd w:val="clear" w:color="auto" w:fill="E1DFDD"/>
    </w:rPr>
  </w:style>
  <w:style w:type="paragraph" w:styleId="Revisjon">
    <w:name w:val="Revision"/>
    <w:hidden/>
    <w:uiPriority w:val="99"/>
    <w:semiHidden/>
    <w:rsid w:val="005B25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8440">
      <w:bodyDiv w:val="1"/>
      <w:marLeft w:val="0"/>
      <w:marRight w:val="0"/>
      <w:marTop w:val="0"/>
      <w:marBottom w:val="0"/>
      <w:divBdr>
        <w:top w:val="none" w:sz="0" w:space="0" w:color="auto"/>
        <w:left w:val="none" w:sz="0" w:space="0" w:color="auto"/>
        <w:bottom w:val="none" w:sz="0" w:space="0" w:color="auto"/>
        <w:right w:val="none" w:sz="0" w:space="0" w:color="auto"/>
      </w:divBdr>
      <w:divsChild>
        <w:div w:id="518007064">
          <w:marLeft w:val="0"/>
          <w:marRight w:val="0"/>
          <w:marTop w:val="0"/>
          <w:marBottom w:val="0"/>
          <w:divBdr>
            <w:top w:val="none" w:sz="0" w:space="0" w:color="auto"/>
            <w:left w:val="none" w:sz="0" w:space="0" w:color="auto"/>
            <w:bottom w:val="none" w:sz="0" w:space="0" w:color="auto"/>
            <w:right w:val="none" w:sz="0" w:space="0" w:color="auto"/>
          </w:divBdr>
          <w:divsChild>
            <w:div w:id="978804366">
              <w:marLeft w:val="0"/>
              <w:marRight w:val="0"/>
              <w:marTop w:val="0"/>
              <w:marBottom w:val="0"/>
              <w:divBdr>
                <w:top w:val="none" w:sz="0" w:space="0" w:color="auto"/>
                <w:left w:val="none" w:sz="0" w:space="0" w:color="auto"/>
                <w:bottom w:val="none" w:sz="0" w:space="0" w:color="auto"/>
                <w:right w:val="none" w:sz="0" w:space="0" w:color="auto"/>
              </w:divBdr>
              <w:divsChild>
                <w:div w:id="1223950507">
                  <w:marLeft w:val="0"/>
                  <w:marRight w:val="0"/>
                  <w:marTop w:val="0"/>
                  <w:marBottom w:val="0"/>
                  <w:divBdr>
                    <w:top w:val="none" w:sz="0" w:space="0" w:color="auto"/>
                    <w:left w:val="none" w:sz="0" w:space="0" w:color="auto"/>
                    <w:bottom w:val="none" w:sz="0" w:space="0" w:color="auto"/>
                    <w:right w:val="none" w:sz="0" w:space="0" w:color="auto"/>
                  </w:divBdr>
                  <w:divsChild>
                    <w:div w:id="1543250695">
                      <w:marLeft w:val="0"/>
                      <w:marRight w:val="0"/>
                      <w:marTop w:val="0"/>
                      <w:marBottom w:val="0"/>
                      <w:divBdr>
                        <w:top w:val="none" w:sz="0" w:space="0" w:color="auto"/>
                        <w:left w:val="none" w:sz="0" w:space="0" w:color="auto"/>
                        <w:bottom w:val="none" w:sz="0" w:space="0" w:color="auto"/>
                        <w:right w:val="none" w:sz="0" w:space="0" w:color="auto"/>
                      </w:divBdr>
                      <w:divsChild>
                        <w:div w:id="116684047">
                          <w:marLeft w:val="0"/>
                          <w:marRight w:val="0"/>
                          <w:marTop w:val="0"/>
                          <w:marBottom w:val="0"/>
                          <w:divBdr>
                            <w:top w:val="none" w:sz="0" w:space="0" w:color="auto"/>
                            <w:left w:val="none" w:sz="0" w:space="0" w:color="auto"/>
                            <w:bottom w:val="none" w:sz="0" w:space="0" w:color="auto"/>
                            <w:right w:val="none" w:sz="0" w:space="0" w:color="auto"/>
                          </w:divBdr>
                          <w:divsChild>
                            <w:div w:id="21328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72072">
      <w:bodyDiv w:val="1"/>
      <w:marLeft w:val="0"/>
      <w:marRight w:val="0"/>
      <w:marTop w:val="0"/>
      <w:marBottom w:val="0"/>
      <w:divBdr>
        <w:top w:val="none" w:sz="0" w:space="0" w:color="auto"/>
        <w:left w:val="none" w:sz="0" w:space="0" w:color="auto"/>
        <w:bottom w:val="none" w:sz="0" w:space="0" w:color="auto"/>
        <w:right w:val="none" w:sz="0" w:space="0" w:color="auto"/>
      </w:divBdr>
      <w:divsChild>
        <w:div w:id="995912062">
          <w:marLeft w:val="0"/>
          <w:marRight w:val="0"/>
          <w:marTop w:val="0"/>
          <w:marBottom w:val="0"/>
          <w:divBdr>
            <w:top w:val="none" w:sz="0" w:space="0" w:color="auto"/>
            <w:left w:val="none" w:sz="0" w:space="0" w:color="auto"/>
            <w:bottom w:val="none" w:sz="0" w:space="0" w:color="auto"/>
            <w:right w:val="none" w:sz="0" w:space="0" w:color="auto"/>
          </w:divBdr>
          <w:divsChild>
            <w:div w:id="741566106">
              <w:marLeft w:val="0"/>
              <w:marRight w:val="0"/>
              <w:marTop w:val="0"/>
              <w:marBottom w:val="0"/>
              <w:divBdr>
                <w:top w:val="none" w:sz="0" w:space="0" w:color="auto"/>
                <w:left w:val="none" w:sz="0" w:space="0" w:color="auto"/>
                <w:bottom w:val="none" w:sz="0" w:space="0" w:color="auto"/>
                <w:right w:val="none" w:sz="0" w:space="0" w:color="auto"/>
              </w:divBdr>
              <w:divsChild>
                <w:div w:id="7536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0485">
      <w:bodyDiv w:val="1"/>
      <w:marLeft w:val="0"/>
      <w:marRight w:val="0"/>
      <w:marTop w:val="0"/>
      <w:marBottom w:val="0"/>
      <w:divBdr>
        <w:top w:val="none" w:sz="0" w:space="0" w:color="auto"/>
        <w:left w:val="none" w:sz="0" w:space="0" w:color="auto"/>
        <w:bottom w:val="none" w:sz="0" w:space="0" w:color="auto"/>
        <w:right w:val="none" w:sz="0" w:space="0" w:color="auto"/>
      </w:divBdr>
      <w:divsChild>
        <w:div w:id="827942918">
          <w:marLeft w:val="0"/>
          <w:marRight w:val="0"/>
          <w:marTop w:val="0"/>
          <w:marBottom w:val="0"/>
          <w:divBdr>
            <w:top w:val="none" w:sz="0" w:space="0" w:color="auto"/>
            <w:left w:val="none" w:sz="0" w:space="0" w:color="auto"/>
            <w:bottom w:val="none" w:sz="0" w:space="0" w:color="auto"/>
            <w:right w:val="none" w:sz="0" w:space="0" w:color="auto"/>
          </w:divBdr>
          <w:divsChild>
            <w:div w:id="207226091">
              <w:marLeft w:val="0"/>
              <w:marRight w:val="0"/>
              <w:marTop w:val="0"/>
              <w:marBottom w:val="0"/>
              <w:divBdr>
                <w:top w:val="none" w:sz="0" w:space="0" w:color="auto"/>
                <w:left w:val="none" w:sz="0" w:space="0" w:color="auto"/>
                <w:bottom w:val="none" w:sz="0" w:space="0" w:color="auto"/>
                <w:right w:val="none" w:sz="0" w:space="0" w:color="auto"/>
              </w:divBdr>
              <w:divsChild>
                <w:div w:id="13783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cardio.org/Guidelines/Clinical-Practice-Guidelines/Arterial-Hypertension-Management-o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anfinse\Local%20Settings\Temporary%20Internet%20Files\Content.Outlook\T2ARZMKE\Kvalitetsutvalgsvurd%20mal%2009.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11EC-C44E-4884-BFA7-50A92027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Kvalitetsutvalgsvurd mal 09</Template>
  <TotalTime>1</TotalTime>
  <Pages>5</Pages>
  <Words>2258</Words>
  <Characters>11973</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Retningslinjenes tittel, årstall</vt:lpstr>
    </vt:vector>
  </TitlesOfParts>
  <Company>Unknown Organization</Company>
  <LinksUpToDate>false</LinksUpToDate>
  <CharactersWithSpaces>14203</CharactersWithSpaces>
  <SharedDoc>false</SharedDoc>
  <HLinks>
    <vt:vector size="12" baseType="variant">
      <vt:variant>
        <vt:i4>6225948</vt:i4>
      </vt:variant>
      <vt:variant>
        <vt:i4>3</vt:i4>
      </vt:variant>
      <vt:variant>
        <vt:i4>0</vt:i4>
      </vt:variant>
      <vt:variant>
        <vt:i4>5</vt:i4>
      </vt:variant>
      <vt:variant>
        <vt:lpwstr>https://doi.org/10.1093/eurheartj/ehy339</vt:lpwstr>
      </vt:variant>
      <vt:variant>
        <vt:lpwstr/>
      </vt:variant>
      <vt:variant>
        <vt:i4>5308419</vt:i4>
      </vt:variant>
      <vt:variant>
        <vt:i4>0</vt:i4>
      </vt:variant>
      <vt:variant>
        <vt:i4>0</vt:i4>
      </vt:variant>
      <vt:variant>
        <vt:i4>5</vt:i4>
      </vt:variant>
      <vt:variant>
        <vt:lpwstr>https://www.escardio.org/Guidelines/Clinical-Practice-Guidelines/Arterial-Hypertension-Management-of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Retningslinjenes tittel, årstall</dc:title>
  <dc:creator>oanfinse</dc:creator>
  <cp:lastModifiedBy>Ole-Gunnar Anfinsen</cp:lastModifiedBy>
  <cp:revision>3</cp:revision>
  <cp:lastPrinted>1900-12-31T23:00:00Z</cp:lastPrinted>
  <dcterms:created xsi:type="dcterms:W3CDTF">2019-04-15T07:22:00Z</dcterms:created>
  <dcterms:modified xsi:type="dcterms:W3CDTF">2019-04-15T07:23:00Z</dcterms:modified>
</cp:coreProperties>
</file>